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CA712B"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8605E8">
        <w:rPr>
          <w:rFonts w:ascii="Times New Roman" w:hAnsi="Times New Roman"/>
          <w:b/>
          <w:bCs/>
          <w:color w:val="000000"/>
          <w:sz w:val="24"/>
          <w:szCs w:val="24"/>
        </w:rPr>
        <w:t>3</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525B8D">
        <w:rPr>
          <w:rFonts w:ascii="Times New Roman" w:hAnsi="Times New Roman"/>
          <w:b/>
          <w:bCs/>
          <w:color w:val="000000"/>
          <w:sz w:val="24"/>
          <w:szCs w:val="24"/>
        </w:rPr>
        <w:t>2</w:t>
      </w:r>
      <w:r w:rsidR="00CA712B">
        <w:rPr>
          <w:rFonts w:ascii="Times New Roman" w:hAnsi="Times New Roman"/>
          <w:b/>
          <w:bCs/>
          <w:color w:val="000000"/>
          <w:sz w:val="24"/>
          <w:szCs w:val="24"/>
        </w:rPr>
        <w:t>3</w:t>
      </w:r>
    </w:p>
    <w:p w:rsidR="00A839B6" w:rsidRDefault="00A839B6" w:rsidP="009D56D5">
      <w:pPr>
        <w:widowControl w:val="0"/>
        <w:autoSpaceDE w:val="0"/>
        <w:autoSpaceDN w:val="0"/>
        <w:adjustRightInd w:val="0"/>
        <w:spacing w:after="120" w:line="240" w:lineRule="auto"/>
        <w:ind w:right="-1"/>
        <w:jc w:val="center"/>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p w:rsidR="00A839B6" w:rsidRDefault="00A839B6" w:rsidP="00A25904">
      <w:pPr>
        <w:widowControl w:val="0"/>
        <w:autoSpaceDE w:val="0"/>
        <w:autoSpaceDN w:val="0"/>
        <w:adjustRightInd w:val="0"/>
        <w:spacing w:after="120" w:line="240" w:lineRule="auto"/>
        <w:ind w:right="-1"/>
        <w:jc w:val="both"/>
        <w:rPr>
          <w:rFonts w:ascii="Times New Roman" w:hAnsi="Times New Roman"/>
          <w:sz w:val="24"/>
          <w:szCs w:val="24"/>
        </w:rPr>
      </w:pP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4422AE"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w:t>
            </w:r>
            <w:r w:rsidR="00EC504F" w:rsidRPr="00C67C47">
              <w:rPr>
                <w:rFonts w:ascii="Times New Roman" w:hAnsi="Times New Roman"/>
                <w:b/>
                <w:color w:val="002060"/>
                <w:sz w:val="28"/>
                <w:szCs w:val="28"/>
                <w:lang w:val="en-US"/>
              </w:rPr>
              <w:t>0</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43DA7"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385F23">
              <w:rPr>
                <w:rFonts w:ascii="Times New Roman" w:hAnsi="Times New Roman"/>
              </w:rPr>
              <w:t>Гарантийные обязательства</w:t>
            </w:r>
            <w:r w:rsidR="003C7B07" w:rsidRPr="00385F23">
              <w:rPr>
                <w:rFonts w:ascii="Times New Roman" w:hAnsi="Times New Roman"/>
              </w:rPr>
              <w:t>/Срок годности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8C2DEA">
              <w:rPr>
                <w:rFonts w:ascii="Times New Roman" w:hAnsi="Times New Roman"/>
                <w:b/>
                <w:bCs/>
                <w:i/>
                <w:iCs/>
                <w:color w:val="000000"/>
              </w:rPr>
              <w:t>К</w:t>
            </w:r>
            <w:r>
              <w:rPr>
                <w:rFonts w:ascii="Times New Roman" w:hAnsi="Times New Roman"/>
                <w:i/>
                <w:iCs/>
                <w:color w:val="000000"/>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8C2DEA">
              <w:rPr>
                <w:rFonts w:ascii="Times New Roman" w:hAnsi="Times New Roman"/>
                <w:b/>
                <w:bCs/>
                <w:i/>
                <w:iCs/>
                <w:color w:val="000000"/>
              </w:rPr>
              <w:t>k</w:t>
            </w:r>
            <w:r>
              <w:rPr>
                <w:rFonts w:ascii="Times New Roman" w:hAnsi="Times New Roman"/>
                <w:i/>
                <w:iCs/>
                <w:color w:val="000000"/>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33,3</w:t>
            </w:r>
            <w:r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4168D2">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15</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w:t>
      </w:r>
      <w:r w:rsidRPr="008C2DEA">
        <w:rPr>
          <w:rFonts w:ascii="Times New Roman" w:hAnsi="Times New Roman"/>
          <w:color w:val="000000"/>
        </w:rPr>
        <w:lastRenderedPageBreak/>
        <w:t>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E5769" w:rsidRPr="008C2DEA" w:rsidRDefault="00CE5769" w:rsidP="00CE5769">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4.4</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CE5769" w:rsidRPr="008C2DEA" w:rsidRDefault="00CE5769" w:rsidP="00CE5769">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lastRenderedPageBreak/>
        <w:t>K</w:t>
      </w:r>
      <w:r>
        <w:rPr>
          <w:rFonts w:ascii="Times New Roman" w:hAnsi="Times New Roman"/>
          <w:i/>
          <w:iCs/>
          <w:color w:val="000000"/>
          <w:sz w:val="14"/>
          <w:szCs w:val="14"/>
        </w:rPr>
        <w:t>4.4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4.4</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4.4</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E5769" w:rsidRPr="008C2DEA" w:rsidRDefault="00CE5769" w:rsidP="00CE5769">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4</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CE5769" w:rsidRPr="008C2DEA" w:rsidRDefault="00CE5769" w:rsidP="00CE5769">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CE5769">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r w:rsidRPr="008C2DEA">
        <w:rPr>
          <w:rFonts w:ascii="Times New Roman" w:hAnsi="Times New Roman"/>
          <w:i/>
          <w:iCs/>
          <w:color w:val="000000"/>
          <w:sz w:val="14"/>
          <w:szCs w:val="14"/>
        </w:rPr>
        <w:t>3</w:t>
      </w:r>
      <w:r w:rsidRPr="008C2DEA">
        <w:rPr>
          <w:rFonts w:ascii="Times New Roman" w:hAnsi="Times New Roman"/>
          <w:color w:val="000000"/>
        </w:rPr>
        <w:t xml:space="preserve"> − значимость подкритерия 4.</w:t>
      </w:r>
      <w:r>
        <w:rPr>
          <w:rFonts w:ascii="Times New Roman" w:hAnsi="Times New Roman"/>
          <w:color w:val="000000"/>
        </w:rPr>
        <w:t>4</w:t>
      </w:r>
      <w:r w:rsidRPr="008C2DEA">
        <w:rPr>
          <w:rFonts w:ascii="Times New Roman" w:hAnsi="Times New Roman"/>
          <w:color w:val="000000"/>
        </w:rPr>
        <w:t>.</w:t>
      </w:r>
    </w:p>
    <w:p w:rsidR="00CE5769" w:rsidRPr="008C2DEA" w:rsidRDefault="00CE5769" w:rsidP="00B152E1">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325E9A" w:rsidP="00132395">
            <w:pPr>
              <w:widowControl w:val="0"/>
              <w:autoSpaceDE w:val="0"/>
              <w:autoSpaceDN w:val="0"/>
              <w:adjustRightInd w:val="0"/>
              <w:spacing w:after="120" w:line="240" w:lineRule="auto"/>
              <w:ind w:left="147" w:right="-1"/>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8605E8">
              <w:rPr>
                <w:rFonts w:ascii="Times New Roman" w:hAnsi="Times New Roman"/>
                <w:b/>
                <w:bCs/>
                <w:sz w:val="24"/>
                <w:szCs w:val="24"/>
              </w:rPr>
              <w:t>3</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525B8D">
              <w:rPr>
                <w:rFonts w:ascii="Times New Roman" w:hAnsi="Times New Roman"/>
                <w:b/>
                <w:bCs/>
                <w:sz w:val="24"/>
                <w:szCs w:val="24"/>
              </w:rPr>
              <w:t>2</w:t>
            </w:r>
            <w:r w:rsidR="00CA712B">
              <w:rPr>
                <w:rFonts w:ascii="Times New Roman" w:hAnsi="Times New Roman"/>
                <w:b/>
                <w:bCs/>
                <w:sz w:val="24"/>
                <w:szCs w:val="24"/>
              </w:rPr>
              <w:t>3</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CA712B">
              <w:rPr>
                <w:rFonts w:ascii="Times New Roman" w:hAnsi="Times New Roman"/>
                <w:b/>
                <w:bCs/>
                <w:sz w:val="24"/>
                <w:szCs w:val="24"/>
              </w:rPr>
              <w:t>3</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CA712B">
              <w:rPr>
                <w:rFonts w:ascii="Times New Roman" w:hAnsi="Times New Roman"/>
                <w:b/>
                <w:bCs/>
                <w:sz w:val="24"/>
                <w:szCs w:val="24"/>
              </w:rPr>
              <w:t>3</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9546"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342"/>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3F0E6B">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34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3F0E6B">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34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Times New Roman" w:hAnsi="Times New Roman"/>
                <w:b/>
                <w:bCs/>
                <w:color w:val="000000"/>
                <w:sz w:val="20"/>
                <w:szCs w:val="20"/>
              </w:rPr>
            </w:pPr>
            <w:r w:rsidRPr="003F0E6B">
              <w:rPr>
                <w:rFonts w:ascii="Times New Roman" w:hAnsi="Times New Roman"/>
                <w:b/>
                <w:bCs/>
                <w:color w:val="000000"/>
                <w:sz w:val="20"/>
                <w:szCs w:val="20"/>
              </w:rPr>
              <w:t>Наименование Участника: ______</w:t>
            </w:r>
          </w:p>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tcPr>
          <w:p w:rsidR="00E74B16" w:rsidRPr="003F0E6B"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3F0E6B">
              <w:rPr>
                <w:rFonts w:ascii="Times New Roman" w:hAnsi="Times New Roman"/>
                <w:b/>
                <w:bCs/>
                <w:color w:val="000000"/>
                <w:sz w:val="20"/>
                <w:szCs w:val="20"/>
              </w:rPr>
              <w:t>Наименование Участника: _____</w:t>
            </w: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w:t>
            </w:r>
            <w:r w:rsidR="00226CE9">
              <w:rPr>
                <w:rFonts w:ascii="Times New Roman" w:hAnsi="Times New Roman"/>
                <w:color w:val="000000"/>
              </w:rPr>
              <w:t xml:space="preserve">п.5.1 Технического задания </w:t>
            </w:r>
            <w:r w:rsidR="00BD425B">
              <w:rPr>
                <w:rFonts w:ascii="Times New Roman" w:hAnsi="Times New Roman"/>
                <w:color w:val="000000"/>
              </w:rPr>
              <w:t>или превышаю</w:t>
            </w:r>
            <w:r w:rsidR="002762CF" w:rsidRPr="002762CF">
              <w:rPr>
                <w:rFonts w:ascii="Times New Roman" w:hAnsi="Times New Roman"/>
                <w:color w:val="000000"/>
              </w:rPr>
              <w:t>т их.</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032888">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16" w:right="88"/>
              <w:rPr>
                <w:rFonts w:ascii="Arial" w:hAnsi="Arial" w:cs="Arial"/>
                <w:sz w:val="20"/>
                <w:szCs w:val="20"/>
              </w:rPr>
            </w:pPr>
            <w:r w:rsidRPr="00981CF9">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032888">
              <w:rPr>
                <w:rFonts w:ascii="Times New Roman" w:hAnsi="Times New Roman"/>
                <w:color w:val="000000"/>
                <w:sz w:val="20"/>
                <w:szCs w:val="20"/>
              </w:rPr>
              <w:t> </w:t>
            </w:r>
          </w:p>
        </w:tc>
        <w:tc>
          <w:tcPr>
            <w:tcW w:w="2000" w:type="dxa"/>
            <w:tcBorders>
              <w:top w:val="nil"/>
              <w:left w:val="nil"/>
              <w:bottom w:val="single" w:sz="8" w:space="0" w:color="000000"/>
              <w:right w:val="single" w:sz="4" w:space="0" w:color="000000"/>
            </w:tcBorders>
            <w:shd w:val="clear" w:color="auto" w:fill="CCFFCC"/>
            <w:vAlign w:val="center"/>
          </w:tcPr>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032888">
              <w:rPr>
                <w:rFonts w:ascii="Times New Roman" w:hAnsi="Times New Roman"/>
                <w:color w:val="000000"/>
                <w:sz w:val="20"/>
                <w:szCs w:val="20"/>
              </w:rPr>
              <w:t> </w:t>
            </w:r>
          </w:p>
          <w:p w:rsidR="00E74B16" w:rsidRPr="00032888"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rsidTr="003F0E6B">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342"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365863">
              <w:rPr>
                <w:rFonts w:ascii="Times New Roman" w:hAnsi="Times New Roman"/>
                <w:color w:val="000000"/>
              </w:rPr>
              <w:t xml:space="preserve">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минимальные требования Закупочной документации</w:t>
            </w:r>
            <w:r w:rsidR="00BD425B">
              <w:rPr>
                <w:rFonts w:ascii="Times New Roman" w:hAnsi="Times New Roman"/>
                <w:bCs/>
                <w:color w:val="000000"/>
              </w:rPr>
              <w:t>.</w:t>
            </w:r>
          </w:p>
          <w:p w:rsidR="00FB0D60" w:rsidRDefault="00BD20B8" w:rsidP="009D56D5">
            <w:pPr>
              <w:spacing w:after="0"/>
              <w:ind w:left="137"/>
              <w:rPr>
                <w:rFonts w:ascii="Times New Roman" w:hAnsi="Times New Roman"/>
                <w:color w:val="1F4E79" w:themeColor="accent1" w:themeShade="8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r w:rsidR="00365863" w:rsidRPr="009D56D5">
              <w:rPr>
                <w:rFonts w:ascii="Times New Roman" w:hAnsi="Times New Roman"/>
              </w:rPr>
              <w:t>–</w:t>
            </w:r>
            <w:r w:rsidR="00FB0D60">
              <w:rPr>
                <w:rFonts w:ascii="Times New Roman" w:hAnsi="Times New Roman"/>
                <w:color w:val="0070C0"/>
              </w:rPr>
              <w:t>Не используется для оценки</w:t>
            </w:r>
            <w:r w:rsidR="00FB0D60" w:rsidRPr="009D56D5" w:rsidDel="00FB0D60">
              <w:rPr>
                <w:rFonts w:ascii="Times New Roman" w:hAnsi="Times New Roman"/>
                <w:color w:val="1F4E79" w:themeColor="accent1" w:themeShade="80"/>
              </w:rPr>
              <w:t xml:space="preserve"> </w:t>
            </w:r>
          </w:p>
          <w:p w:rsidR="009D56D5" w:rsidRPr="000B1E12" w:rsidRDefault="00BD20B8" w:rsidP="009D56D5">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r w:rsidR="009D56D5" w:rsidRPr="009D56D5">
              <w:rPr>
                <w:rFonts w:ascii="Times New Roman" w:hAnsi="Times New Roman"/>
                <w:color w:val="1F4E79" w:themeColor="accent1" w:themeShade="80"/>
              </w:rPr>
              <w:t xml:space="preserve">опыт </w:t>
            </w:r>
            <w:r w:rsidR="009D56D5" w:rsidRPr="009D56D5">
              <w:rPr>
                <w:rFonts w:ascii="Times New Roman" w:hAnsi="Times New Roman"/>
                <w:color w:val="1F4E79" w:themeColor="accent1" w:themeShade="80"/>
                <w:lang w:eastAsia="en-US"/>
              </w:rPr>
              <w:t xml:space="preserve"> п</w:t>
            </w:r>
            <w:r w:rsidR="009D56D5" w:rsidRPr="009D56D5">
              <w:rPr>
                <w:rFonts w:ascii="Times New Roman" w:hAnsi="Times New Roman"/>
                <w:color w:val="1F497D"/>
                <w:lang w:eastAsia="en-US"/>
              </w:rPr>
              <w:t xml:space="preserve">ревышает минимальные требования по опыту оказания аналогичных услуг, </w:t>
            </w:r>
            <w:r w:rsidR="009D56D5" w:rsidRPr="009D56D5">
              <w:rPr>
                <w:rFonts w:ascii="Times New Roman" w:hAnsi="Times New Roman"/>
                <w:color w:val="000000"/>
              </w:rPr>
              <w:t>установленн</w:t>
            </w:r>
            <w:r w:rsidR="00FB0D60">
              <w:rPr>
                <w:rFonts w:ascii="Times New Roman" w:hAnsi="Times New Roman"/>
                <w:color w:val="000000"/>
              </w:rPr>
              <w:t>ые</w:t>
            </w:r>
            <w:r w:rsidR="009D56D5" w:rsidRPr="009D56D5">
              <w:rPr>
                <w:rFonts w:ascii="Times New Roman" w:hAnsi="Times New Roman"/>
                <w:color w:val="000000"/>
              </w:rPr>
              <w:t xml:space="preserve"> в п.5.7 Технического задания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F0E6B">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42"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5E782B" w:rsidTr="003F0E6B">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342"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Pr="002D033A">
              <w:rPr>
                <w:rFonts w:ascii="Times New Roman" w:hAnsi="Times New Roman"/>
                <w:color w:val="000000"/>
              </w:rPr>
              <w:t xml:space="preserve"> Технического задания.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9496E" w:rsidRDefault="00F9496E" w:rsidP="00F9496E">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Pr>
                <w:rFonts w:ascii="Times New Roman" w:hAnsi="Times New Roman"/>
                <w:b/>
                <w:bCs/>
                <w:color w:val="000000"/>
              </w:rPr>
              <w:t>-</w:t>
            </w:r>
            <w:r w:rsidRPr="002D033A">
              <w:rPr>
                <w:rFonts w:ascii="Times New Roman" w:hAnsi="Times New Roman"/>
                <w:color w:val="000000"/>
              </w:rPr>
              <w:t xml:space="preserve"> </w:t>
            </w:r>
            <w:r w:rsidRPr="002762CF">
              <w:rPr>
                <w:rFonts w:ascii="Times New Roman" w:hAnsi="Times New Roman"/>
                <w:color w:val="000000"/>
              </w:rPr>
              <w:t xml:space="preserve">Наличие </w:t>
            </w:r>
            <w:r w:rsidR="00981CF9">
              <w:rPr>
                <w:rFonts w:ascii="Times New Roman" w:hAnsi="Times New Roman"/>
                <w:color w:val="000000"/>
              </w:rPr>
              <w:t xml:space="preserve">материально-технических ресурсов подтверждено, ресурсы </w:t>
            </w:r>
            <w:r>
              <w:rPr>
                <w:rFonts w:ascii="Times New Roman" w:hAnsi="Times New Roman"/>
                <w:color w:val="000000"/>
              </w:rPr>
              <w:t>соответствую</w:t>
            </w:r>
            <w:r w:rsidRPr="002762CF">
              <w:rPr>
                <w:rFonts w:ascii="Times New Roman" w:hAnsi="Times New Roman"/>
                <w:color w:val="000000"/>
              </w:rPr>
              <w:t xml:space="preserve">т </w:t>
            </w:r>
            <w:proofErr w:type="gramStart"/>
            <w:r w:rsidRPr="002762CF">
              <w:rPr>
                <w:rFonts w:ascii="Times New Roman" w:hAnsi="Times New Roman"/>
                <w:color w:val="000000"/>
              </w:rPr>
              <w:t>минимальным  требованиям</w:t>
            </w:r>
            <w:proofErr w:type="gramEnd"/>
            <w:r w:rsidRPr="002762CF">
              <w:rPr>
                <w:rFonts w:ascii="Times New Roman" w:hAnsi="Times New Roman"/>
                <w:color w:val="000000"/>
              </w:rPr>
              <w:t xml:space="preserve"> заку</w:t>
            </w:r>
            <w:r>
              <w:rPr>
                <w:rFonts w:ascii="Times New Roman" w:hAnsi="Times New Roman"/>
                <w:color w:val="000000"/>
              </w:rPr>
              <w:t>почной документации или превышаю</w:t>
            </w:r>
            <w:r w:rsidRPr="002762CF">
              <w:rPr>
                <w:rFonts w:ascii="Times New Roman" w:hAnsi="Times New Roman"/>
                <w:color w:val="000000"/>
              </w:rPr>
              <w:t>т их.</w:t>
            </w:r>
            <w:r w:rsidRPr="002762CF" w:rsidDel="002762CF">
              <w:rPr>
                <w:rFonts w:ascii="Times New Roman" w:hAnsi="Times New Roman"/>
                <w:color w:val="000000"/>
              </w:rPr>
              <w:t xml:space="preserve"> </w:t>
            </w:r>
          </w:p>
          <w:p w:rsidR="005E782B" w:rsidRPr="009D56D5" w:rsidRDefault="00F9496E" w:rsidP="00F9496E">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3F0E6B">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342"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9D56D5" w:rsidRDefault="00400BFB" w:rsidP="005E782B">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sz w:val="24"/>
                <w:szCs w:val="24"/>
              </w:rPr>
              <w:t>Итоговый балл по данному подкритерию:</w:t>
            </w: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2000"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CA712B">
              <w:rPr>
                <w:rFonts w:ascii="Times New Roman" w:hAnsi="Times New Roman"/>
                <w:b/>
                <w:bCs/>
                <w:sz w:val="24"/>
                <w:szCs w:val="24"/>
              </w:rPr>
              <w:t>3</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8605E8">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CA712B">
              <w:rPr>
                <w:rFonts w:ascii="Times New Roman" w:hAnsi="Times New Roman"/>
                <w:b/>
                <w:bCs/>
                <w:sz w:val="24"/>
                <w:szCs w:val="24"/>
              </w:rPr>
              <w:t>3</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E61A8" w:rsidTr="00290A8C">
        <w:tc>
          <w:tcPr>
            <w:tcW w:w="2410" w:type="dxa"/>
            <w:vMerge w:val="restart"/>
            <w:tcBorders>
              <w:top w:val="single" w:sz="8" w:space="0" w:color="000000"/>
              <w:left w:val="single" w:sz="8" w:space="0" w:color="000000"/>
              <w:right w:val="single" w:sz="4" w:space="0" w:color="auto"/>
            </w:tcBorders>
            <w:shd w:val="clear" w:color="auto" w:fill="FFFFFF" w:themeFill="background1"/>
            <w:vAlign w:val="center"/>
          </w:tcPr>
          <w:p w:rsidR="00EE61A8" w:rsidRPr="009D56D5" w:rsidRDefault="00EE61A8" w:rsidP="00F72D0A">
            <w:pPr>
              <w:widowControl w:val="0"/>
              <w:autoSpaceDE w:val="0"/>
              <w:autoSpaceDN w:val="0"/>
              <w:adjustRightInd w:val="0"/>
              <w:spacing w:after="0" w:line="240" w:lineRule="auto"/>
              <w:jc w:val="center"/>
              <w:rPr>
                <w:rFonts w:ascii="Times New Roman" w:hAnsi="Times New Roman"/>
                <w:b/>
                <w:sz w:val="24"/>
                <w:szCs w:val="24"/>
              </w:rPr>
            </w:pPr>
            <w:r w:rsidRPr="002F65AB">
              <w:rPr>
                <w:rFonts w:ascii="Times New Roman" w:hAnsi="Times New Roman"/>
                <w:b/>
                <w:sz w:val="24"/>
                <w:szCs w:val="24"/>
              </w:rPr>
              <w:t>Гарантийные обязательства</w:t>
            </w:r>
            <w:r w:rsidR="003C7B07" w:rsidRPr="002F65AB">
              <w:rPr>
                <w:rFonts w:ascii="Times New Roman" w:hAnsi="Times New Roman"/>
                <w:b/>
                <w:sz w:val="24"/>
                <w:szCs w:val="24"/>
              </w:rPr>
              <w:t>/ Срок годности</w:t>
            </w:r>
          </w:p>
        </w:tc>
        <w:tc>
          <w:tcPr>
            <w:tcW w:w="83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F3D66" w:rsidRDefault="00EE61A8" w:rsidP="005F63F2">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0 </w:t>
            </w:r>
            <w:proofErr w:type="gramStart"/>
            <w:r w:rsidRPr="009D56D5">
              <w:rPr>
                <w:rFonts w:ascii="Times New Roman" w:hAnsi="Times New Roman"/>
                <w:b/>
                <w:bCs/>
                <w:sz w:val="24"/>
                <w:szCs w:val="24"/>
              </w:rPr>
              <w:t xml:space="preserve">баллов </w:t>
            </w:r>
            <w:r w:rsidRPr="009D56D5">
              <w:rPr>
                <w:rFonts w:ascii="Times New Roman" w:hAnsi="Times New Roman"/>
                <w:sz w:val="24"/>
                <w:szCs w:val="24"/>
              </w:rPr>
              <w:t xml:space="preserve"> Участник</w:t>
            </w:r>
            <w:proofErr w:type="gramEnd"/>
            <w:r w:rsidRPr="009D56D5">
              <w:rPr>
                <w:rFonts w:ascii="Times New Roman" w:hAnsi="Times New Roman"/>
                <w:sz w:val="24"/>
                <w:szCs w:val="24"/>
              </w:rPr>
              <w:t xml:space="preserve"> не подтвердил гарантийные обязательства </w:t>
            </w:r>
            <w:r w:rsidR="003C7B07">
              <w:rPr>
                <w:rFonts w:ascii="Times New Roman" w:hAnsi="Times New Roman"/>
                <w:sz w:val="24"/>
                <w:szCs w:val="24"/>
              </w:rPr>
              <w:t>/ Срок годности</w:t>
            </w:r>
            <w:r w:rsidRPr="009D56D5">
              <w:rPr>
                <w:rFonts w:ascii="Times New Roman" w:hAnsi="Times New Roman"/>
                <w:sz w:val="24"/>
                <w:szCs w:val="24"/>
              </w:rPr>
              <w:t>, либо предложенные гарантийные обязательства</w:t>
            </w:r>
            <w:r w:rsidR="003C7B07">
              <w:rPr>
                <w:rFonts w:ascii="Times New Roman" w:hAnsi="Times New Roman"/>
                <w:sz w:val="24"/>
                <w:szCs w:val="24"/>
              </w:rPr>
              <w:t>/ срок годности</w:t>
            </w:r>
            <w:r w:rsidRPr="009D56D5">
              <w:rPr>
                <w:rFonts w:ascii="Times New Roman" w:hAnsi="Times New Roman"/>
                <w:sz w:val="24"/>
                <w:szCs w:val="24"/>
              </w:rPr>
              <w:t xml:space="preserve"> меньше/хуже тр</w:t>
            </w:r>
            <w:r w:rsidR="005F63F2" w:rsidRPr="009D56D5">
              <w:rPr>
                <w:rFonts w:ascii="Times New Roman" w:hAnsi="Times New Roman"/>
                <w:sz w:val="24"/>
                <w:szCs w:val="24"/>
              </w:rPr>
              <w:t>ебований</w:t>
            </w:r>
            <w:r w:rsidRPr="009D56D5">
              <w:rPr>
                <w:rFonts w:ascii="Times New Roman" w:hAnsi="Times New Roman"/>
                <w:sz w:val="24"/>
                <w:szCs w:val="24"/>
              </w:rPr>
              <w:t xml:space="preserve">  Закупочной документации</w:t>
            </w:r>
            <w:r w:rsidR="00A27335" w:rsidRPr="009D56D5">
              <w:rPr>
                <w:rFonts w:ascii="Times New Roman" w:hAnsi="Times New Roman"/>
                <w:sz w:val="24"/>
                <w:szCs w:val="24"/>
              </w:rPr>
              <w:t xml:space="preserve"> </w:t>
            </w:r>
          </w:p>
          <w:p w:rsidR="00DF3D66" w:rsidRDefault="00DF3D66" w:rsidP="00DF3D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E61A8" w:rsidRPr="009D56D5" w:rsidRDefault="00DF3D66" w:rsidP="005F63F2">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sz w:val="24"/>
                <w:szCs w:val="24"/>
              </w:rPr>
              <w:t>3</w:t>
            </w:r>
            <w:r w:rsidRPr="00FD17C7">
              <w:rPr>
                <w:rFonts w:ascii="Times New Roman" w:hAnsi="Times New Roman"/>
                <w:b/>
                <w:bCs/>
                <w:sz w:val="24"/>
                <w:szCs w:val="24"/>
              </w:rPr>
              <w:t xml:space="preserve"> </w:t>
            </w:r>
            <w:proofErr w:type="gramStart"/>
            <w:r w:rsidRPr="00FD17C7">
              <w:rPr>
                <w:rFonts w:ascii="Times New Roman" w:hAnsi="Times New Roman"/>
                <w:b/>
                <w:bCs/>
                <w:sz w:val="24"/>
                <w:szCs w:val="24"/>
              </w:rPr>
              <w:t>балл</w:t>
            </w:r>
            <w:r>
              <w:rPr>
                <w:rFonts w:ascii="Times New Roman" w:hAnsi="Times New Roman"/>
                <w:b/>
                <w:bCs/>
                <w:sz w:val="24"/>
                <w:szCs w:val="24"/>
              </w:rPr>
              <w:t>а</w:t>
            </w:r>
            <w:r w:rsidRPr="00FD17C7">
              <w:rPr>
                <w:rFonts w:ascii="Times New Roman" w:hAnsi="Times New Roman"/>
                <w:b/>
                <w:bCs/>
                <w:sz w:val="24"/>
                <w:szCs w:val="24"/>
              </w:rPr>
              <w:t xml:space="preserve"> </w:t>
            </w:r>
            <w:r w:rsidRPr="00FD17C7">
              <w:rPr>
                <w:rFonts w:ascii="Times New Roman" w:hAnsi="Times New Roman"/>
                <w:sz w:val="24"/>
                <w:szCs w:val="24"/>
              </w:rPr>
              <w:t xml:space="preserve"> </w:t>
            </w:r>
            <w:r>
              <w:rPr>
                <w:rFonts w:ascii="Times New Roman" w:hAnsi="Times New Roman"/>
                <w:sz w:val="24"/>
                <w:szCs w:val="24"/>
              </w:rPr>
              <w:t>Гарантийные</w:t>
            </w:r>
            <w:proofErr w:type="gramEnd"/>
            <w:r>
              <w:rPr>
                <w:rFonts w:ascii="Times New Roman" w:hAnsi="Times New Roman"/>
                <w:sz w:val="24"/>
                <w:szCs w:val="24"/>
              </w:rPr>
              <w:t xml:space="preserve"> обязательства</w:t>
            </w:r>
            <w:r w:rsidR="003C7B07">
              <w:rPr>
                <w:rFonts w:ascii="Times New Roman" w:hAnsi="Times New Roman"/>
                <w:sz w:val="24"/>
                <w:szCs w:val="24"/>
              </w:rPr>
              <w:t>/ Срок годн</w:t>
            </w:r>
            <w:r w:rsidR="002F65AB">
              <w:rPr>
                <w:rFonts w:ascii="Times New Roman" w:hAnsi="Times New Roman"/>
                <w:sz w:val="24"/>
                <w:szCs w:val="24"/>
              </w:rPr>
              <w:t>ости</w:t>
            </w:r>
            <w:r>
              <w:rPr>
                <w:rFonts w:ascii="Times New Roman" w:hAnsi="Times New Roman"/>
                <w:sz w:val="24"/>
                <w:szCs w:val="24"/>
              </w:rPr>
              <w:t xml:space="preserve"> соответствуют </w:t>
            </w:r>
            <w:r w:rsidRPr="00FD17C7">
              <w:rPr>
                <w:rFonts w:ascii="Times New Roman" w:hAnsi="Times New Roman"/>
                <w:sz w:val="24"/>
                <w:szCs w:val="24"/>
              </w:rPr>
              <w:t>тр</w:t>
            </w:r>
            <w:r>
              <w:rPr>
                <w:rFonts w:ascii="Times New Roman" w:hAnsi="Times New Roman"/>
                <w:sz w:val="24"/>
                <w:szCs w:val="24"/>
              </w:rPr>
              <w:t>ебованиям</w:t>
            </w:r>
            <w:r w:rsidRPr="00FD17C7">
              <w:rPr>
                <w:rFonts w:ascii="Times New Roman" w:hAnsi="Times New Roman"/>
                <w:sz w:val="24"/>
                <w:szCs w:val="24"/>
              </w:rPr>
              <w:t xml:space="preserve">  Закупочной документации </w:t>
            </w:r>
            <w:r>
              <w:rPr>
                <w:rFonts w:ascii="Times New Roman" w:hAnsi="Times New Roman"/>
                <w:sz w:val="24"/>
                <w:szCs w:val="24"/>
              </w:rPr>
              <w:t xml:space="preserve">или </w:t>
            </w:r>
            <w:r w:rsidR="00A27335" w:rsidRPr="009D56D5">
              <w:rPr>
                <w:rFonts w:ascii="Times New Roman" w:hAnsi="Times New Roman"/>
                <w:sz w:val="24"/>
                <w:szCs w:val="24"/>
              </w:rPr>
              <w:t xml:space="preserve"> превышают их.</w:t>
            </w:r>
          </w:p>
          <w:p w:rsidR="00EE61A8" w:rsidRPr="009D56D5"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9D56D5">
              <w:rPr>
                <w:rFonts w:ascii="Times New Roman" w:hAnsi="Times New Roman"/>
                <w:b/>
                <w:bCs/>
                <w:sz w:val="24"/>
                <w:szCs w:val="24"/>
              </w:rPr>
              <w:t xml:space="preserve">4 </w:t>
            </w:r>
            <w:proofErr w:type="gramStart"/>
            <w:r w:rsidRPr="009D56D5">
              <w:rPr>
                <w:rFonts w:ascii="Times New Roman" w:hAnsi="Times New Roman"/>
                <w:b/>
                <w:bCs/>
                <w:sz w:val="24"/>
                <w:szCs w:val="24"/>
              </w:rPr>
              <w:t xml:space="preserve">балла </w:t>
            </w:r>
            <w:r w:rsidRPr="009D56D5">
              <w:rPr>
                <w:rFonts w:ascii="Times New Roman" w:hAnsi="Times New Roman"/>
                <w:sz w:val="24"/>
                <w:szCs w:val="24"/>
              </w:rPr>
              <w:t xml:space="preserve"> -</w:t>
            </w:r>
            <w:proofErr w:type="gramEnd"/>
            <w:r w:rsidRPr="009D56D5">
              <w:rPr>
                <w:rFonts w:ascii="Times New Roman" w:hAnsi="Times New Roman"/>
                <w:sz w:val="24"/>
                <w:szCs w:val="24"/>
              </w:rPr>
              <w:t xml:space="preserve"> </w:t>
            </w:r>
            <w:r w:rsidRPr="009D56D5">
              <w:rPr>
                <w:rFonts w:ascii="Times New Roman" w:hAnsi="Times New Roman"/>
                <w:b/>
                <w:bCs/>
                <w:sz w:val="24"/>
                <w:szCs w:val="24"/>
              </w:rPr>
              <w:t xml:space="preserve">5 баллов </w:t>
            </w:r>
            <w:r w:rsidRPr="009D56D5">
              <w:rPr>
                <w:rFonts w:ascii="Times New Roman" w:hAnsi="Times New Roman"/>
                <w:sz w:val="24"/>
                <w:szCs w:val="24"/>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231710" w:rsidTr="00231710">
        <w:tc>
          <w:tcPr>
            <w:tcW w:w="2410" w:type="dxa"/>
            <w:vMerge/>
            <w:tcBorders>
              <w:left w:val="single" w:sz="8" w:space="0" w:color="000000"/>
              <w:bottom w:val="single" w:sz="8" w:space="0" w:color="000000"/>
              <w:right w:val="single" w:sz="4" w:space="0" w:color="auto"/>
            </w:tcBorders>
            <w:shd w:val="clear" w:color="auto" w:fill="FFFFFF" w:themeFill="background1"/>
            <w:vAlign w:val="center"/>
          </w:tcPr>
          <w:p w:rsidR="00231710" w:rsidRPr="009D56D5" w:rsidRDefault="00231710" w:rsidP="00231710">
            <w:pPr>
              <w:widowControl w:val="0"/>
              <w:autoSpaceDE w:val="0"/>
              <w:autoSpaceDN w:val="0"/>
              <w:adjustRightInd w:val="0"/>
              <w:spacing w:after="0" w:line="240" w:lineRule="auto"/>
              <w:rPr>
                <w:rFonts w:ascii="Arial" w:hAnsi="Arial" w:cs="Arial"/>
                <w:color w:val="FFFFFF" w:themeColor="background1"/>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9D56D5" w:rsidRDefault="00231710" w:rsidP="00231710">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Pr="00290A8C" w:rsidRDefault="00231710" w:rsidP="00231710">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r>
              <w:rPr>
                <w:rFonts w:ascii="Times New Roman" w:hAnsi="Times New Roman"/>
                <w:color w:val="000000"/>
                <w:sz w:val="24"/>
                <w:szCs w:val="24"/>
              </w:rPr>
              <w:t> </w:t>
            </w:r>
          </w:p>
        </w:tc>
        <w:tc>
          <w:tcPr>
            <w:tcW w:w="172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231710" w:rsidRDefault="00231710" w:rsidP="00231710">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231710" w:rsidRPr="00290A8C" w:rsidRDefault="00231710" w:rsidP="00231710">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8605E8">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jc w:val="both"/>
              <w:rPr>
                <w:rFonts w:ascii="Times New Roman" w:hAnsi="Times New Roman"/>
                <w:sz w:val="24"/>
                <w:szCs w:val="24"/>
              </w:rPr>
            </w:pPr>
            <w:r>
              <w:rPr>
                <w:rFonts w:ascii="Times New Roman" w:hAnsi="Times New Roman"/>
                <w:sz w:val="24"/>
                <w:szCs w:val="24"/>
              </w:rPr>
              <w:t>Изготовление сувенирной продукции</w:t>
            </w:r>
            <w:r w:rsidR="005C72CF">
              <w:rPr>
                <w:rFonts w:ascii="Times New Roman" w:hAnsi="Times New Roman"/>
                <w:sz w:val="24"/>
                <w:szCs w:val="24"/>
              </w:rPr>
              <w:t xml:space="preserve">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bookmarkStart w:id="0" w:name="_GoBack"/>
            <w:bookmarkEnd w:id="0"/>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325E9A" w:rsidRPr="00B86C63" w:rsidRDefault="00325E9A" w:rsidP="00325E9A">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785E12">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525B8D">
              <w:rPr>
                <w:rFonts w:ascii="Times New Roman" w:hAnsi="Times New Roman"/>
                <w:b/>
                <w:bCs/>
                <w:sz w:val="24"/>
                <w:szCs w:val="24"/>
              </w:rPr>
              <w:t>2</w:t>
            </w:r>
            <w:r w:rsidR="00CA712B">
              <w:rPr>
                <w:rFonts w:ascii="Times New Roman" w:hAnsi="Times New Roman"/>
                <w:b/>
                <w:bCs/>
                <w:sz w:val="24"/>
                <w:szCs w:val="24"/>
              </w:rPr>
              <w:t>3</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9100" w:type="dxa"/>
            <w:gridSpan w:val="2"/>
            <w:tcBorders>
              <w:top w:val="nil"/>
              <w:left w:val="nil"/>
              <w:bottom w:val="nil"/>
              <w:right w:val="nil"/>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rPr>
                <w:rFonts w:ascii="Arial" w:hAnsi="Arial" w:cs="Arial"/>
                <w:b/>
                <w:bCs/>
                <w:color w:val="000000"/>
                <w:sz w:val="24"/>
                <w:szCs w:val="24"/>
              </w:rPr>
            </w:pPr>
          </w:p>
          <w:p w:rsidR="00325E9A" w:rsidRDefault="00325E9A" w:rsidP="00325E9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r>
      <w:tr w:rsidR="00325E9A"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325E9A"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325E9A"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325E9A" w:rsidRDefault="00325E9A" w:rsidP="00325E9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85E12">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B07" w:rsidRDefault="003C7B07">
      <w:pPr>
        <w:spacing w:after="0" w:line="240" w:lineRule="auto"/>
      </w:pPr>
      <w:r>
        <w:separator/>
      </w:r>
    </w:p>
  </w:endnote>
  <w:endnote w:type="continuationSeparator" w:id="0">
    <w:p w:rsidR="003C7B07" w:rsidRDefault="003C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3C7B07" w:rsidRDefault="003C7B07">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B07" w:rsidRDefault="003C7B07">
      <w:pPr>
        <w:spacing w:after="0" w:line="240" w:lineRule="auto"/>
      </w:pPr>
      <w:r>
        <w:separator/>
      </w:r>
    </w:p>
  </w:footnote>
  <w:footnote w:type="continuationSeparator" w:id="0">
    <w:p w:rsidR="003C7B07" w:rsidRDefault="003C7B07">
      <w:pPr>
        <w:spacing w:after="0" w:line="240" w:lineRule="auto"/>
      </w:pPr>
      <w:r>
        <w:continuationSeparator/>
      </w:r>
    </w:p>
  </w:footnote>
  <w:footnote w:id="1">
    <w:p w:rsidR="003C7B07" w:rsidRDefault="003C7B07"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E72E37" w:rsidRDefault="003C7B07"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Pr="00BA78AF" w:rsidRDefault="003C7B07"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B07" w:rsidRDefault="003C7B07">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505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32888"/>
    <w:rsid w:val="00060A7C"/>
    <w:rsid w:val="000853D4"/>
    <w:rsid w:val="000A0FAC"/>
    <w:rsid w:val="000B1E12"/>
    <w:rsid w:val="000C1DB2"/>
    <w:rsid w:val="000C40ED"/>
    <w:rsid w:val="000D0BD2"/>
    <w:rsid w:val="000D17B1"/>
    <w:rsid w:val="000F6D29"/>
    <w:rsid w:val="00130726"/>
    <w:rsid w:val="00132395"/>
    <w:rsid w:val="00153B82"/>
    <w:rsid w:val="00153FFC"/>
    <w:rsid w:val="0015480B"/>
    <w:rsid w:val="00155432"/>
    <w:rsid w:val="00162649"/>
    <w:rsid w:val="001C5D39"/>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2328B"/>
    <w:rsid w:val="006408C1"/>
    <w:rsid w:val="00640F47"/>
    <w:rsid w:val="006459F0"/>
    <w:rsid w:val="00651228"/>
    <w:rsid w:val="0065620F"/>
    <w:rsid w:val="00665188"/>
    <w:rsid w:val="0066605D"/>
    <w:rsid w:val="006A6A70"/>
    <w:rsid w:val="006B1B21"/>
    <w:rsid w:val="006D3507"/>
    <w:rsid w:val="006E39F6"/>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51DA1"/>
    <w:rsid w:val="00981CF9"/>
    <w:rsid w:val="009902B5"/>
    <w:rsid w:val="00991E3F"/>
    <w:rsid w:val="009964CC"/>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6F9E"/>
    <w:rsid w:val="00BE0723"/>
    <w:rsid w:val="00BE5154"/>
    <w:rsid w:val="00C2423A"/>
    <w:rsid w:val="00C26DE5"/>
    <w:rsid w:val="00C37166"/>
    <w:rsid w:val="00C43918"/>
    <w:rsid w:val="00C56F0E"/>
    <w:rsid w:val="00C67C47"/>
    <w:rsid w:val="00C72FE6"/>
    <w:rsid w:val="00CA712B"/>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408BF18B"/>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98DB6-A1C2-4AC7-9FF8-E12634361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15</Pages>
  <Words>2691</Words>
  <Characters>20444</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30</cp:revision>
  <cp:lastPrinted>2022-09-23T10:45:00Z</cp:lastPrinted>
  <dcterms:created xsi:type="dcterms:W3CDTF">2021-08-27T06:36:00Z</dcterms:created>
  <dcterms:modified xsi:type="dcterms:W3CDTF">2023-09-07T13:11:00Z</dcterms:modified>
</cp:coreProperties>
</file>