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02D" w:rsidRDefault="0050702D" w:rsidP="0050702D">
      <w:r>
        <w:t>Основные изменения Положения о порядке проведения регламентированных закупок товаров, работ, услуг заключаются в следующем:</w:t>
      </w:r>
    </w:p>
    <w:p w:rsidR="0050702D" w:rsidRDefault="0050702D" w:rsidP="0050702D">
      <w:r>
        <w:t>в пункте 3.4.1. конкретизирована одна из функций, осуществляемых Заказчиком:</w:t>
      </w:r>
    </w:p>
    <w:p w:rsidR="0050702D" w:rsidRDefault="0050702D" w:rsidP="0050702D">
      <w:r>
        <w:t>«…- подготовка и предоставление, в рамках участия представителей Заказчика в составе экспертной группы, Закупочной комиссии заключений на соответствие Заявок на участие в закупке, Участников закупки и Продукции, требованиям, выставляемым Заказчиком, подготовка и предоставление Закупочной комиссии заключений по результатам оценки заявок на участие в закупке»;</w:t>
      </w:r>
    </w:p>
    <w:p w:rsidR="0050702D" w:rsidRDefault="0050702D" w:rsidP="0050702D">
      <w:r>
        <w:tab/>
        <w:t>в пункте 22.8. определены исключения, при которых принятие решения о заключении дополнительных соглашений не относится к компетенции ЕИО Общества:</w:t>
      </w:r>
    </w:p>
    <w:p w:rsidR="0050702D" w:rsidRDefault="0050702D" w:rsidP="0050702D">
      <w:r>
        <w:t>«… Дополнительные соглашения, изменяющие иные условия договора, заключенного по результатам Закупочных процедур, могут быть заключены на основании решения ЕИО Общества, кроме случаев, установленных настоящим Положением, а также действующим законодательством Российской Федерации, в соответствии с внутренними нормативными документами Общества (решением ЕИО Общества является его подпись на дополнительном соглашении)»;</w:t>
      </w:r>
    </w:p>
    <w:p w:rsidR="0050702D" w:rsidRDefault="0050702D" w:rsidP="0050702D">
      <w:r>
        <w:t>в пункте 28.2. конкретизирован порядок проведения переторжки:</w:t>
      </w:r>
    </w:p>
    <w:p w:rsidR="0050702D" w:rsidRDefault="0050702D" w:rsidP="0050702D">
      <w:r>
        <w:t>«28.2.</w:t>
      </w:r>
      <w:r>
        <w:tab/>
        <w:t>Порядок и условия проведения переторжки определяются в Закупочной документации. Переторжка должна проводиться только после предварительной оценки, сравнения и ранжирования не отклоненных Заявок. Переторжка может проводиться неограниченное количество раз в пределах общего срока закупки (этапа закупки)»;</w:t>
      </w:r>
    </w:p>
    <w:p w:rsidR="0050702D" w:rsidRDefault="0050702D" w:rsidP="0050702D">
      <w:r>
        <w:tab/>
        <w:t>пункт 29.3. изложен в новой редакции:</w:t>
      </w:r>
    </w:p>
    <w:p w:rsidR="0050702D" w:rsidRDefault="0050702D" w:rsidP="0050702D">
      <w:r>
        <w:t>«29.3.</w:t>
      </w:r>
      <w:r>
        <w:tab/>
        <w:t>В целях проведения совместной закупки, способ закупки в ГКПЗ Заказчиков должен совпадать. В случае несовпадения способа совместной закупки в ГКПЗ Заказчиков, способ проведения совместной закупки определяется Организатором закупки (СЗО) самостоятельно и без согласования с Заказчиком. Проведение совместной закупки осуществляется по единым правилам, которые установлены положениями о порядке проведения регламентированных закупок товаров, работ, услуг для нужд Заказчиков»;</w:t>
      </w:r>
    </w:p>
    <w:p w:rsidR="0050702D" w:rsidRDefault="0050702D" w:rsidP="0050702D">
      <w:r>
        <w:tab/>
        <w:t>пункт 29.4. изложен в новой редакции:</w:t>
      </w:r>
    </w:p>
    <w:p w:rsidR="0050702D" w:rsidRDefault="0050702D" w:rsidP="0050702D">
      <w:r>
        <w:t>«29.4.</w:t>
      </w:r>
      <w:r>
        <w:tab/>
        <w:t>По предварительному согласованию Заказчика, в состав Закупочной комиссии Организатором закупки могут включаться представители Заказчиков. Заказчики вправе самостоятельно инициировать включение в состав Закупочной комиссии своего представителя»;</w:t>
      </w:r>
    </w:p>
    <w:p w:rsidR="0050702D" w:rsidRDefault="0050702D" w:rsidP="0050702D">
      <w:r>
        <w:tab/>
        <w:t>пункт 37.6.1. изложен в новой редакции:</w:t>
      </w:r>
    </w:p>
    <w:p w:rsidR="0050702D" w:rsidRDefault="0050702D" w:rsidP="0050702D">
      <w:r>
        <w:t>«37.6.1. Для осуществления конкурентных закупок Организатор закупки создает закупочную комиссию»;</w:t>
      </w:r>
    </w:p>
    <w:p w:rsidR="0050702D" w:rsidRDefault="0050702D" w:rsidP="0050702D">
      <w:r>
        <w:tab/>
        <w:t>в пунктах 39.2.8.12., 39.2.10.1., 41.2.8.12., 41.2.11.1., 42.2.8.12., 43.2.9.12., 43.2.12.1. оценочная стадия изменена на этап рассмотрения Заявок;</w:t>
      </w:r>
    </w:p>
    <w:p w:rsidR="0050702D" w:rsidRDefault="0050702D" w:rsidP="0050702D">
      <w:r>
        <w:tab/>
        <w:t>пункты 41.2.10.2., 43.2.11.2. изложены в новой редакции:</w:t>
      </w:r>
    </w:p>
    <w:p w:rsidR="0050702D" w:rsidRDefault="0050702D" w:rsidP="0050702D">
      <w:r>
        <w:t>«Форма и порядок проведения переговоров, сроки подачи новых предложений, определенные Закупочной комиссией, указываются в приглашении Участников закупки на переговоры.»;</w:t>
      </w:r>
    </w:p>
    <w:p w:rsidR="0050702D" w:rsidRDefault="0050702D" w:rsidP="0050702D">
      <w:r>
        <w:tab/>
        <w:t>исключены пункты 43.2.11.5. - 43.2.11.7:</w:t>
      </w:r>
    </w:p>
    <w:p w:rsidR="0050702D" w:rsidRDefault="0050702D" w:rsidP="0050702D">
      <w:r>
        <w:lastRenderedPageBreak/>
        <w:t>«43.2.11.5. После завершения переговоров Закупочная комиссия может либо выбрать Победителя сразу, либо устанавливает окончательные общие требования к закупаемой Продукции и условиям договора, оформляет их в виде Закупочной документации и просит всех продолжающих участвовать в процедурах представить к определенной дате окончательное предложение. С Участниками закупки, подавшими наилучшие предложения, Организатор закупки может провести переговоры в описанном выше порядке или сразу выбрать выигравшего Участника закупки.</w:t>
      </w:r>
    </w:p>
    <w:p w:rsidR="0050702D" w:rsidRDefault="0050702D" w:rsidP="0050702D">
      <w:r>
        <w:t>43.2.11.6. Процедура, описанная в настоящем разделе может проводиться столько раз, сколько необходимо для выбора Победителя.</w:t>
      </w:r>
    </w:p>
    <w:p w:rsidR="0050702D" w:rsidRDefault="0050702D" w:rsidP="0050702D">
      <w:r>
        <w:t>43.2.11.7. При необходимости, по решению Закупочной комиссии, Организатор закупки после проведения конкурентных переговоров может не выбирать Победителя (либо не заключать договор с уже выбранным), а объявить проведение закупки иным конкурентным способом, персонально пригласив на нее Участников закупки, в любом случае по результатам Закупочной процедуры составляется протокол Закупочной комиссии, который размещается на Интернет-ресурсах в соответствии с требованиями Раздела «Информационное обеспечение закупок» настоящего Положения.»;</w:t>
      </w:r>
    </w:p>
    <w:p w:rsidR="0050702D" w:rsidRDefault="0050702D" w:rsidP="0050702D">
      <w:r>
        <w:t>пункт 45.1.1. изложен в новой редакции:</w:t>
      </w:r>
    </w:p>
    <w:p w:rsidR="0050702D" w:rsidRDefault="0050702D" w:rsidP="0050702D">
      <w:r>
        <w:t>«45.1.1. На основании ГКПЗ Общества (включение в ГКПЗ Общества закупок способом «у единственного поставщика» на сумму свыше 500 000 (пятисот тысяч) рублей включительно (без учета НДС), осуществляется только в случаях и по основаниям, предусмотренным разделом 45 настоящего Положения)»;</w:t>
      </w:r>
    </w:p>
    <w:p w:rsidR="0050702D" w:rsidRDefault="0050702D" w:rsidP="0050702D">
      <w:r>
        <w:t>пункт 45.1.3.9. изложен в новой редакции:</w:t>
      </w:r>
    </w:p>
    <w:p w:rsidR="0050702D" w:rsidRDefault="0050702D" w:rsidP="0050702D">
      <w:r>
        <w:t>«45.1.3.9. Закупки Продукции у специализированных компаний Группы, являющихся центром функциональной ответственности в Группе, в том числе по следующим направлениям:</w:t>
      </w:r>
    </w:p>
    <w:p w:rsidR="0050702D" w:rsidRDefault="0050702D" w:rsidP="0050702D">
      <w:r>
        <w:tab/>
        <w:t>а) закупки финансовых услуг;</w:t>
      </w:r>
    </w:p>
    <w:p w:rsidR="0050702D" w:rsidRDefault="0050702D" w:rsidP="0050702D">
      <w:r>
        <w:tab/>
        <w:t>б) закупка услуг СЗО;</w:t>
      </w:r>
    </w:p>
    <w:p w:rsidR="0050702D" w:rsidRDefault="0050702D" w:rsidP="0050702D">
      <w:r>
        <w:tab/>
        <w:t>в) закупка ИТ-услуг;</w:t>
      </w:r>
    </w:p>
    <w:p w:rsidR="0050702D" w:rsidRDefault="0050702D" w:rsidP="0050702D">
      <w:r>
        <w:t>г) закупка инжиниринговых услуг.»;</w:t>
      </w:r>
    </w:p>
    <w:p w:rsidR="0050702D" w:rsidRDefault="0050702D" w:rsidP="0050702D">
      <w:r>
        <w:t>добавлен пункт 45.1.3.11. следующего содержания:</w:t>
      </w:r>
    </w:p>
    <w:p w:rsidR="0050702D" w:rsidRDefault="0050702D" w:rsidP="0050702D">
      <w:r>
        <w:t>«45.1.3.11. Признания проведенной конкурентной закупочной процедуры несостоявшейся, когда дальнейшее проведение конкурентных закупочных процедур является нецелесообразным в соответствии с решением ЦЗК.»;</w:t>
      </w:r>
    </w:p>
    <w:p w:rsidR="0050702D" w:rsidRDefault="0050702D" w:rsidP="0050702D">
      <w:r>
        <w:t>добавлены пункты 45.5., 45.5.1. и 45.5.2. следующего содержания:</w:t>
      </w:r>
    </w:p>
    <w:p w:rsidR="0050702D" w:rsidRDefault="0050702D" w:rsidP="0050702D">
      <w:r>
        <w:t>«45.5. Закупка инжиниринговых услуг осуществляется в порядке, предусмотренном п. 45.1.3.9 «г» настоящего Положения в случае, если:</w:t>
      </w:r>
    </w:p>
    <w:p w:rsidR="0050702D" w:rsidRDefault="0050702D" w:rsidP="0050702D">
      <w:r>
        <w:t>45.5.1</w:t>
      </w:r>
      <w:r>
        <w:tab/>
        <w:t>предметом оказания услуги являются:</w:t>
      </w:r>
    </w:p>
    <w:p w:rsidR="0050702D" w:rsidRDefault="0050702D" w:rsidP="0050702D">
      <w:r>
        <w:t xml:space="preserve">- осуществление действий в качестве генподрядной организации или заказчика – застройщика (по агентскому договору) по организации выполнения проектно-изыскательских работ, научно-исследовательских работ, опытно-конструкторских работ, проектных работ, а также оказания услуг авторского надзора в отношении объектов энергетического хозяйства Группы; </w:t>
      </w:r>
    </w:p>
    <w:p w:rsidR="0050702D" w:rsidRDefault="0050702D" w:rsidP="0050702D">
      <w:r>
        <w:lastRenderedPageBreak/>
        <w:t>- осуществление действий в качестве генподрядной организации или заказчика – застройщика (по агентскому договору) по организации выполнения работ по реконструкции, модернизации, техническому перевооружению и капитальному строительству объектов энергетического хозяйства Группы.</w:t>
      </w:r>
    </w:p>
    <w:p w:rsidR="0050702D" w:rsidRDefault="0050702D" w:rsidP="0050702D">
      <w:r>
        <w:t>45.5.2</w:t>
      </w:r>
      <w:r>
        <w:tab/>
        <w:t>одновременно соблюдаются следующие условия:</w:t>
      </w:r>
    </w:p>
    <w:p w:rsidR="0050702D" w:rsidRDefault="0050702D" w:rsidP="0050702D">
      <w:r>
        <w:t>- услуги, указанные в п. 45.5.1. оказываются в рамках реализации инвестиционных проектов (в том числе ДПМ, поручений Федеральных органов исполнительной власти, строительства и ввода в эксплуатацию новых генерирующих объектов);</w:t>
      </w:r>
    </w:p>
    <w:p w:rsidR="0050702D" w:rsidRDefault="0050702D" w:rsidP="0050702D">
      <w:r>
        <w:t>- стоимости услуг более 125 000 000,00 (ста двадцати пяти миллионов) рублей без НДС.».</w:t>
      </w:r>
    </w:p>
    <w:p w:rsidR="0050702D" w:rsidRDefault="0050702D" w:rsidP="0050702D">
      <w:r>
        <w:t>Внесены изменения в Приложение 1 «Положение о раскрытии информации в отношении всей цепочки собственников контрагента, включая бенефициаров (в том числе, конечных)» к Положению, которые заключаются в следующем:</w:t>
      </w:r>
    </w:p>
    <w:p w:rsidR="0050702D" w:rsidRDefault="0050702D" w:rsidP="0050702D">
      <w:r>
        <w:t>пункт 6.1. изложен в новой редакции:</w:t>
      </w:r>
      <w:r>
        <w:tab/>
      </w:r>
    </w:p>
    <w:p w:rsidR="0050702D" w:rsidRDefault="0050702D" w:rsidP="0050702D">
      <w:r>
        <w:t>«6.1. В качестве конечных бенефициаров (выгодоприобретателей) контрагента могут быть указаны:</w:t>
      </w:r>
    </w:p>
    <w:p w:rsidR="0050702D" w:rsidRDefault="0050702D" w:rsidP="0050702D">
      <w:r>
        <w:t>- одно или несколько физических лиц;</w:t>
      </w:r>
    </w:p>
    <w:p w:rsidR="0050702D" w:rsidRDefault="0050702D" w:rsidP="0050702D">
      <w:r>
        <w:t>- Федеральные органы государственной власти РФ;</w:t>
      </w:r>
    </w:p>
    <w:p w:rsidR="0050702D" w:rsidRDefault="0050702D" w:rsidP="0050702D">
      <w:r>
        <w:t>- государственные и муниципальные унитарные предприятия, организации и учреждения;</w:t>
      </w:r>
    </w:p>
    <w:p w:rsidR="0050702D" w:rsidRDefault="0050702D" w:rsidP="0050702D">
      <w:r>
        <w:t>- государственные органы власти других стран;</w:t>
      </w:r>
    </w:p>
    <w:p w:rsidR="0050702D" w:rsidRDefault="0050702D" w:rsidP="0050702D">
      <w:r>
        <w:t>- иные организационно-правовые формы, попадающие под действие раздела 9 настоящего Положения.»;</w:t>
      </w:r>
    </w:p>
    <w:p w:rsidR="0050702D" w:rsidRDefault="0050702D" w:rsidP="0050702D">
      <w:r>
        <w:t>пункты 7.2.1. и 7.2.2. изложены в новой редакции:</w:t>
      </w:r>
    </w:p>
    <w:p w:rsidR="0050702D" w:rsidRDefault="0050702D" w:rsidP="0050702D">
      <w:r>
        <w:t xml:space="preserve">«7.2.1. Российские общества с ограниченной ответственностью (далее – ООО), общества с дополнительной ответственностью (далее – ОДО): </w:t>
      </w:r>
    </w:p>
    <w:p w:rsidR="0050702D" w:rsidRDefault="0050702D" w:rsidP="0050702D">
      <w:r>
        <w:t xml:space="preserve">- выписка из Единого государственного реестра юридических лиц (далее – ЕГРЮЛ) или выписка из ЕГРЮЛ, полученная в форме электронного документа в формате </w:t>
      </w:r>
      <w:proofErr w:type="spellStart"/>
      <w:r>
        <w:t>Pdf</w:t>
      </w:r>
      <w:proofErr w:type="spellEnd"/>
      <w:r>
        <w:t xml:space="preserve">, при условии соответствия сведений, указанных в ней, данным, размещенным на сайте www.egrul.nalog.ru. </w:t>
      </w:r>
    </w:p>
    <w:p w:rsidR="0050702D" w:rsidRDefault="0050702D" w:rsidP="0050702D">
      <w:r>
        <w:t xml:space="preserve">7.2.2. Российские акционерные общества: </w:t>
      </w:r>
    </w:p>
    <w:p w:rsidR="0050702D" w:rsidRDefault="0050702D" w:rsidP="0050702D">
      <w:r>
        <w:t xml:space="preserve">- Реестр / выписка из реестра акционеров / список </w:t>
      </w:r>
      <w:proofErr w:type="gramStart"/>
      <w:r>
        <w:t>лиц</w:t>
      </w:r>
      <w:proofErr w:type="gramEnd"/>
      <w:r>
        <w:t xml:space="preserve"> зарегистрированных в реестре, оформленная(-</w:t>
      </w:r>
      <w:proofErr w:type="spellStart"/>
      <w:r>
        <w:t>ый</w:t>
      </w:r>
      <w:proofErr w:type="spellEnd"/>
      <w:r>
        <w:t xml:space="preserve">) в соответствии с требованиями Положения о ведении реестра владельцев именных ценных бумаг. Срок действия (на дату представления в комплекте документов) – не более 30 (тридцати) календарных дней с даты выдачи уполномоченным органом. </w:t>
      </w:r>
    </w:p>
    <w:p w:rsidR="0050702D" w:rsidRDefault="0050702D" w:rsidP="0050702D">
      <w:r>
        <w:t xml:space="preserve">Либо список аффилированных лиц общества на последнюю отчетную дату подкрепленный печатью организации (в случае, если в нем раскрыты сведения в отношении владельцев 100% уставного капитала). Либо протокол общего собрания акционеров (если в нем раскрыты сведения в отношении владельцев 100% уставного капитала). Срок действия документов (на дату представления в комплекте документов) – не более 90 (девяносто) календарных дней с даты выдачи уполномоченным органом. При предоставлении письма об отсутствии изменений; </w:t>
      </w:r>
    </w:p>
    <w:p w:rsidR="0050702D" w:rsidRDefault="0050702D" w:rsidP="0050702D">
      <w:r>
        <w:lastRenderedPageBreak/>
        <w:t xml:space="preserve">- протокол уполномоченного органа управления о назначении руководителя организации или договор полномочий единоличного исполнительного органа и протокол о назначении руководителя общества, выполняющего функции ЕИО; </w:t>
      </w:r>
    </w:p>
    <w:p w:rsidR="0050702D" w:rsidRDefault="0050702D" w:rsidP="0050702D">
      <w:r>
        <w:t xml:space="preserve">- документы, подтверждающие паспортные и иные идентификационные данные Участников; </w:t>
      </w:r>
    </w:p>
    <w:p w:rsidR="0050702D" w:rsidRDefault="0050702D" w:rsidP="0050702D">
      <w:r>
        <w:t>- В случае если у акционерного общества число акционеров превышает 50, сведения будут считаться предоставленными в полном объеме, если они будут содержать информацию об акционерах и бенефициарах (в том числе конечных), владеющих пакетами акций более 5%.»;</w:t>
      </w:r>
    </w:p>
    <w:p w:rsidR="0050702D" w:rsidRDefault="0050702D" w:rsidP="0050702D">
      <w:r>
        <w:t>пункт 7.2.3.1. изложен в новой редакции:</w:t>
      </w:r>
    </w:p>
    <w:p w:rsidR="0050702D" w:rsidRDefault="0050702D" w:rsidP="0050702D">
      <w:r>
        <w:t xml:space="preserve">«7.2.3.1. Представляется Форма по раскрытию информации (Приложение 1) с подписью и печатью ИП. Выписка из единого государственного реестра индивидуальных предпринимателей (далее – ЕГРИП) или выписка из ЕГРИП, полученная в форме электронного документа в формате </w:t>
      </w:r>
      <w:proofErr w:type="spellStart"/>
      <w:r>
        <w:t>Pdf</w:t>
      </w:r>
      <w:proofErr w:type="spellEnd"/>
      <w:r>
        <w:t xml:space="preserve">, при условии соответствия сведений, указанных в ней, данным, размещенным на сайте www.egrul.nalog.ru.»; </w:t>
      </w:r>
    </w:p>
    <w:p w:rsidR="0050702D" w:rsidRDefault="0050702D" w:rsidP="0050702D">
      <w:r>
        <w:t>пункт 7.2.4. и 7.2.4.1. изложены в новой редакции:</w:t>
      </w:r>
    </w:p>
    <w:p w:rsidR="0050702D" w:rsidRDefault="0050702D" w:rsidP="0050702D">
      <w:r>
        <w:t xml:space="preserve">«7.2.4 Некоммерческие организации, хозяйственные товарищества, частные учреждения, ассоциации (союзы), общины коренных малочисленных народов Российской Федерации, а также потребительские кооперативы. </w:t>
      </w:r>
    </w:p>
    <w:p w:rsidR="0050702D" w:rsidRDefault="0050702D" w:rsidP="0050702D">
      <w:r>
        <w:t>7.2.4.1 Для некоммерческих организаций (за исключением лиц, к которым могут быть применены специальные условия раскрытия информации) необходимо представлять следующие документы:</w:t>
      </w:r>
    </w:p>
    <w:p w:rsidR="0050702D" w:rsidRDefault="0050702D" w:rsidP="0050702D">
      <w:r>
        <w:t xml:space="preserve">- Форма по раскрытию информации с подписью и печатью организации в соответствии с Приложением 1; </w:t>
      </w:r>
    </w:p>
    <w:p w:rsidR="0050702D" w:rsidRDefault="0050702D" w:rsidP="0050702D">
      <w:r>
        <w:t xml:space="preserve">- Выписка из реестра членов некоммерческой организации (в случае если уставом подразумевается извлечение прибыли участниками или членами организации). </w:t>
      </w:r>
    </w:p>
    <w:p w:rsidR="0050702D" w:rsidRDefault="0050702D" w:rsidP="0050702D">
      <w:r>
        <w:t xml:space="preserve">- Для юридических лиц, зарегистрированных в форме фонда, представляется документ о выборе (назначении) попечительского совета фонда; </w:t>
      </w:r>
    </w:p>
    <w:p w:rsidR="0050702D" w:rsidRDefault="0050702D" w:rsidP="0050702D">
      <w:r>
        <w:t xml:space="preserve">- Протокол последнего общего собрания учредителей некоммерческой организации. </w:t>
      </w:r>
    </w:p>
    <w:p w:rsidR="0050702D" w:rsidRDefault="0050702D" w:rsidP="0050702D">
      <w:r>
        <w:t xml:space="preserve">- Устав, Положение или Учредительный договор (в зависимости от формы некоммерческой организации); </w:t>
      </w:r>
    </w:p>
    <w:p w:rsidR="0050702D" w:rsidRDefault="0050702D" w:rsidP="0050702D">
      <w:r>
        <w:t xml:space="preserve">- Протокол или Решение организации о назначении руководителя (или иного органа осуществляющего единоличное или коллегиальное управление); </w:t>
      </w:r>
    </w:p>
    <w:p w:rsidR="0050702D" w:rsidRDefault="0050702D" w:rsidP="0050702D">
      <w:r>
        <w:t>- Информационное письмо, содержащее сведения о создании организации, принципах участия в организации ее учредителей, месте раскрытия информации, актуальности правоустанавливающих документов.»;</w:t>
      </w:r>
    </w:p>
    <w:p w:rsidR="0050702D" w:rsidRDefault="0050702D" w:rsidP="0050702D">
      <w:r>
        <w:t>исключены п. 7.2.5. и 7.2.5.1. следующего содержания:</w:t>
      </w:r>
    </w:p>
    <w:p w:rsidR="0050702D" w:rsidRDefault="0050702D" w:rsidP="0050702D">
      <w:r>
        <w:t>«7.2.5. Государственных, муниципальных образований, а также некоммерческих организаций с государственным участием:</w:t>
      </w:r>
    </w:p>
    <w:p w:rsidR="0050702D" w:rsidRDefault="0050702D" w:rsidP="0050702D">
      <w:r>
        <w:t>7.2.5.1. Достаточным условием раскрытия информации является представление следующих документов:</w:t>
      </w:r>
    </w:p>
    <w:p w:rsidR="0050702D" w:rsidRDefault="0050702D" w:rsidP="0050702D">
      <w:r>
        <w:t>- Документы об образовании юридического лица;</w:t>
      </w:r>
    </w:p>
    <w:p w:rsidR="0050702D" w:rsidRDefault="0050702D" w:rsidP="0050702D">
      <w:r>
        <w:lastRenderedPageBreak/>
        <w:t>- Справка о создании организации, заверенная печатью и подписью руководителя»;</w:t>
      </w:r>
    </w:p>
    <w:p w:rsidR="0050702D" w:rsidRDefault="0050702D" w:rsidP="0050702D">
      <w:r>
        <w:t>пункт 7.2.7. (ранее п. 7.2.8.) изложен в новой редакции:</w:t>
      </w:r>
    </w:p>
    <w:p w:rsidR="0050702D" w:rsidRDefault="0050702D" w:rsidP="0050702D">
      <w:r>
        <w:t xml:space="preserve">«7.2.7. Иные организационно-правовые формы: </w:t>
      </w:r>
    </w:p>
    <w:p w:rsidR="0050702D" w:rsidRDefault="0050702D" w:rsidP="0050702D">
      <w:r>
        <w:t xml:space="preserve">- представляется Форма по раскрытию информации с подписью и печатью организации в соответствии с Приложением 1; </w:t>
      </w:r>
    </w:p>
    <w:p w:rsidR="0050702D" w:rsidRDefault="0050702D" w:rsidP="0050702D">
      <w:r>
        <w:t xml:space="preserve">- выписка из Единого государственного реестра юридических лиц с отражением серий, номеров документов, удостоверяющих личности указанных в выписке лиц, а также адреса их регистрации (далее – ЕГРЮЛ). Срок действия (на дату представления в комплекте документов) – не более 30 (тридцати) календарных дней с даты выдачи уполномоченным органом; </w:t>
      </w:r>
    </w:p>
    <w:p w:rsidR="0050702D" w:rsidRDefault="0050702D" w:rsidP="0050702D">
      <w:r>
        <w:t xml:space="preserve">- в случае отсутствия паспортных данных и ИНН физических лиц в выписке ЕГРЮЛ – представляются иные документы, подтверждающие идентификационные данные Участников (копии паспорта, протокола общего собрания Участников, иных подтверждающих документов); </w:t>
      </w:r>
    </w:p>
    <w:p w:rsidR="0050702D" w:rsidRDefault="0050702D" w:rsidP="0050702D">
      <w:r>
        <w:t>- документы, предусмотренные действующим законодательством Российской Федерации, устанавливающие правоспособность и правовой статус юридического лица, а также документы, содержащие сведения об учредителях (участниках, акционерах, товарищах или вкладчиках) или иных лицах, способных прямо или косвенно контролировать деятельность юридического лица.»;</w:t>
      </w:r>
    </w:p>
    <w:p w:rsidR="0050702D" w:rsidRDefault="0050702D" w:rsidP="0050702D">
      <w:r>
        <w:t>пункты 8.3. и 8.4. изложены в новой редакции:</w:t>
      </w:r>
    </w:p>
    <w:p w:rsidR="0050702D" w:rsidRDefault="0050702D" w:rsidP="0050702D">
      <w:r>
        <w:t xml:space="preserve">«8.3. Система раскрытия договоров формируется из числа: </w:t>
      </w:r>
    </w:p>
    <w:p w:rsidR="0050702D" w:rsidRDefault="0050702D" w:rsidP="0050702D">
      <w:r>
        <w:t xml:space="preserve">- контрагентов, раскрывших сведения в отношении цепочки собственников, включая бенефициаров (в том числе, конечных), в соответствии с нормами настоящего Положения, с которыми заключен договор; </w:t>
      </w:r>
    </w:p>
    <w:p w:rsidR="0050702D" w:rsidRDefault="0050702D" w:rsidP="0050702D">
      <w:r>
        <w:t xml:space="preserve">- контрагентов, прошедших процедуру аккредитации; </w:t>
      </w:r>
    </w:p>
    <w:p w:rsidR="0050702D" w:rsidRDefault="0050702D" w:rsidP="0050702D">
      <w:r>
        <w:t xml:space="preserve">- контрагентов / Победителей Закупочных процедур, раскрывших сведения в отношении цепочки собственников, включая бенефициаров (в том числе, конечных), в рамках договорных отношений сторон, или в рамках подачи Заявки на участие в Закупочной процедуре и/или в рамках проводимой Закупочной процедуры, в соответствии с нормами настоящего Положения; </w:t>
      </w:r>
    </w:p>
    <w:p w:rsidR="0050702D" w:rsidRDefault="0050702D" w:rsidP="0050702D">
      <w:r>
        <w:t xml:space="preserve">- контрагентов, раскрывших сведения в отношении цепочки собственников, включая бенефициаров (в том числе, конечных), в рамках присоединения к Программе партнерства с субъектами малого и среднего предпринимательства. </w:t>
      </w:r>
    </w:p>
    <w:p w:rsidR="0050702D" w:rsidRDefault="0050702D" w:rsidP="0050702D">
      <w:r>
        <w:t>8.4 При проведении Закупочных процедур, а также иных видов подготовки к заключению, заключения и исполнения договоров могут быть использованы сведения Системы раскрытия договоров. При этом контрагентом должно быть представлено письменное заявление в соответствии с Приложением 3 к настоящему Положению, указывающее, что раннее представленные сведения не изменялись. Инициатор договора, куратор закупки, иное ответственное лицо в рамках преддоговорной работы вправе направить контрагенту запрос об отсутствие изменений в цепочке собственников, в случае если с даты последней актуализации сведений о контрагенте, в Системе раскрытия договоров, прошло более 3-х месяцев.»;</w:t>
      </w:r>
    </w:p>
    <w:p w:rsidR="0050702D" w:rsidRDefault="0050702D" w:rsidP="0050702D">
      <w:r>
        <w:t>пункт 9.2.3. изложен в новой редакции:</w:t>
      </w:r>
    </w:p>
    <w:p w:rsidR="0050702D" w:rsidRDefault="0050702D" w:rsidP="0050702D">
      <w:r>
        <w:t xml:space="preserve">«9.2.3 Общественные и религиозные организации (объединения), казачьи общества, фонды, некоммерческие партнерства, автономные некоммерческие организации, товарищества собственников жилья, участники/учредители которых не сохраняют прав на переданное такой организации имущество: </w:t>
      </w:r>
    </w:p>
    <w:p w:rsidR="0050702D" w:rsidRDefault="0050702D" w:rsidP="0050702D">
      <w:r>
        <w:lastRenderedPageBreak/>
        <w:t xml:space="preserve">- представляется Форма по раскрытию информации с подписью и печатью организации в соответствии с Приложением 1 к настоящему Положению. При этом Форма заполняется только в части данных о контрагенте с указанием паспортных данных руководящего органа (его членов); </w:t>
      </w:r>
    </w:p>
    <w:p w:rsidR="0050702D" w:rsidRDefault="0050702D" w:rsidP="0050702D">
      <w:r>
        <w:t xml:space="preserve">- документы, подтверждающие избрание/назначение руководящего органа (его членов); </w:t>
      </w:r>
    </w:p>
    <w:p w:rsidR="0050702D" w:rsidRDefault="0050702D" w:rsidP="0050702D">
      <w:r>
        <w:t>- Устав.»;</w:t>
      </w:r>
    </w:p>
    <w:p w:rsidR="0050702D" w:rsidRDefault="0050702D" w:rsidP="0050702D">
      <w:r>
        <w:t>пункт 9.2.5. изложен в новой редакции:</w:t>
      </w:r>
    </w:p>
    <w:p w:rsidR="0050702D" w:rsidRDefault="0050702D" w:rsidP="0050702D">
      <w:r>
        <w:t xml:space="preserve">«9.2.5. Юридические лица, осуществляющие свою деятельность в соответствии с полученными лицензиями Центрального Банка РФ, и раскрывающие информацию об акционерах в силу требований федеральных органов исполнительной власти, регулирующих деятельность, и законодательства РФ, в отношении которых информация об акционерах и о подтверждающих документах опубликована в общедоступном источнике, обеспечивающем достоверность опубликованной информации в соответствии с законодательством РФ, соответствующей следующим критерию: </w:t>
      </w:r>
    </w:p>
    <w:p w:rsidR="0050702D" w:rsidRDefault="0050702D" w:rsidP="0050702D">
      <w:r>
        <w:t xml:space="preserve">- предоставляется копия действующей лицензии Центрального Банка Российской Федерации; </w:t>
      </w:r>
    </w:p>
    <w:p w:rsidR="0050702D" w:rsidRDefault="0050702D" w:rsidP="0050702D">
      <w:r>
        <w:t xml:space="preserve">- сведения о лицах, под контролем либо значительным влиянием которых находится кредитная организация (в соответствии с требованиями ЦБ РФ); </w:t>
      </w:r>
    </w:p>
    <w:p w:rsidR="00CC0B5D" w:rsidRDefault="0050702D" w:rsidP="0050702D">
      <w:r>
        <w:t>- предоставляется Форма по раскрытию информации с подписью и печатью организации в соответствии с Приложением 1 к настоящему Положению. В тексте формы указывается ссылка на публичность компании и принадлежность к данному типу юридических лиц и общедоступный источник, обеспечивающий достоверность опубликованной информации, посредством которого в установленном законом порядке осуществляется раскрытие такой информации».</w:t>
      </w:r>
      <w:bookmarkStart w:id="0" w:name="_GoBack"/>
      <w:bookmarkEnd w:id="0"/>
    </w:p>
    <w:sectPr w:rsidR="00CC0B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02D"/>
    <w:rsid w:val="0050702D"/>
    <w:rsid w:val="00CC0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844A46-8335-4DC6-A2F3-E08FEDA74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2308</Words>
  <Characters>13160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Мажарова Татьяна Александровна</dc:creator>
  <cp:keywords/>
  <dc:description/>
  <cp:lastModifiedBy>Мажарова Татьяна Александровна</cp:lastModifiedBy>
  <cp:revision>1</cp:revision>
  <dcterms:created xsi:type="dcterms:W3CDTF">2019-04-02T07:42:00Z</dcterms:created>
  <dcterms:modified xsi:type="dcterms:W3CDTF">2019-04-02T07:43:00Z</dcterms:modified>
</cp:coreProperties>
</file>