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240"/>
        <w:rPr>
          <w:b/>
          <w:bCs/>
        </w:rPr>
      </w:pPr>
      <w:r/>
      <w:bookmarkStart w:id="0" w:name="_GoBack"/>
      <w:r/>
      <w:bookmarkEnd w:id="0"/>
      <w:r>
        <w:rPr>
          <w:b/>
          <w:bCs/>
        </w:rPr>
        <w:t xml:space="preserve">Приложение № 1 к Закупочной документации</w:t>
      </w:r>
      <w:r>
        <w:rPr>
          <w:b/>
          <w:bCs/>
        </w:rPr>
      </w:r>
    </w:p>
    <w:p>
      <w:pPr>
        <w:jc w:val="center"/>
        <w:spacing w:after="240"/>
        <w:rPr>
          <w:b/>
          <w:bCs/>
        </w:rPr>
      </w:pPr>
      <w:r>
        <w:rPr>
          <w:b/>
          <w:bCs/>
        </w:rPr>
        <w:t xml:space="preserve">ТЕХНИЧЕСКОЕ ЗАДАНИЕ</w:t>
      </w:r>
      <w:r>
        <w:rPr>
          <w:b/>
          <w:bCs/>
        </w:rPr>
      </w:r>
    </w:p>
    <w:p>
      <w:pPr>
        <w:jc w:val="center"/>
        <w:rPr>
          <w:i/>
        </w:rPr>
      </w:pPr>
      <w:r>
        <w:rPr>
          <w:i/>
        </w:rPr>
        <w:t xml:space="preserve">на оказание</w:t>
      </w:r>
      <w:r>
        <w:t xml:space="preserve"> </w:t>
      </w:r>
      <w:r>
        <w:rPr>
          <w:i/>
        </w:rPr>
        <w:t xml:space="preserve">услуг по проведению предрейсовых и послерейсовых осмотров водителей в</w:t>
      </w:r>
      <w:r>
        <w:rPr>
          <w:i/>
        </w:rPr>
      </w:r>
    </w:p>
    <w:p>
      <w:pPr>
        <w:jc w:val="center"/>
        <w:rPr>
          <w:vertAlign w:val="superscript"/>
        </w:rPr>
      </w:pPr>
      <w:r>
        <w:rPr>
          <w:i/>
        </w:rPr>
        <w:t xml:space="preserve"> Санкт-Петербурге</w:t>
      </w:r>
      <w:r>
        <w:rPr>
          <w:vertAlign w:val="superscript"/>
        </w:rPr>
      </w:r>
    </w:p>
    <w:p>
      <w:pPr>
        <w:pStyle w:val="869"/>
        <w:ind w:left="0"/>
        <w:jc w:val="both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both"/>
        <w:tabs>
          <w:tab w:val="left" w:pos="567" w:leader="none"/>
        </w:tabs>
        <w:rPr>
          <w:b/>
        </w:rPr>
      </w:pPr>
      <w:r>
        <w:rPr>
          <w:b/>
        </w:rPr>
        <w:t xml:space="preserve">1. Наименование услуг (номенклатура) и перечень объектов, на которых будут оказываться услуги</w:t>
      </w:r>
      <w:r>
        <w:rPr>
          <w:b/>
        </w:rPr>
      </w:r>
    </w:p>
    <w:p>
      <w:pPr>
        <w:ind w:firstLine="708"/>
        <w:jc w:val="both"/>
      </w:pPr>
      <w:r>
        <w:t xml:space="preserve">Оказание услуг по проведению предрейсовых и послерейсовых осмотров водителей </w:t>
      </w:r>
      <w:r>
        <w:br/>
        <w:t xml:space="preserve">АО «Петербургская сбытовая компания» на территории Заказчика в передвижном мобильном пункте Исполнителя по адресу: г. Санкт-Петербург, ул. Михайлова, д.11.</w:t>
      </w:r>
      <w:r/>
    </w:p>
    <w:p>
      <w:pPr>
        <w:jc w:val="both"/>
        <w:tabs>
          <w:tab w:val="left" w:pos="180" w:leader="none"/>
        </w:tabs>
      </w:pPr>
      <w:r>
        <w:tab/>
      </w:r>
      <w:r/>
    </w:p>
    <w:p>
      <w:pPr>
        <w:jc w:val="both"/>
        <w:rPr>
          <w:b/>
          <w:bCs/>
        </w:rPr>
      </w:pPr>
      <w:r>
        <w:rPr>
          <w:b/>
          <w:bCs/>
        </w:rPr>
        <w:t xml:space="preserve">2. Общие требования</w:t>
      </w:r>
      <w:r>
        <w:rPr>
          <w:b/>
          <w:bCs/>
        </w:rPr>
      </w:r>
    </w:p>
    <w:p>
      <w:pPr>
        <w:jc w:val="both"/>
        <w:tabs>
          <w:tab w:val="left" w:pos="567" w:leader="none"/>
          <w:tab w:val="left" w:pos="1260" w:leader="none"/>
        </w:tabs>
        <w:rPr>
          <w:b/>
        </w:rPr>
      </w:pPr>
      <w:r>
        <w:rPr>
          <w:b/>
        </w:rPr>
        <w:t xml:space="preserve">2.1. Основание для оказания</w:t>
      </w:r>
      <w:r>
        <w:t xml:space="preserve"> </w:t>
      </w:r>
      <w:r>
        <w:rPr>
          <w:b/>
        </w:rPr>
        <w:t xml:space="preserve">услуг</w:t>
      </w:r>
      <w:r>
        <w:rPr>
          <w:b/>
        </w:rPr>
      </w:r>
    </w:p>
    <w:p>
      <w:pPr>
        <w:ind w:firstLine="540"/>
        <w:jc w:val="both"/>
        <w:spacing w:line="288" w:lineRule="atLeast"/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Предрейсовые медицинские осмотры проводятся перед началом рабочего дня (смены, рейса) в целях выявления признаков </w:t>
      </w:r>
      <w:r>
        <w:rPr>
          <w:color w:val="000000"/>
        </w:rPr>
        <w:t xml:space="preserve">воздействия вредных и (или) опасных производственных факторов, состояний и заболеваний, препятствующих выполнению трудовых обязанностей, в том числе алкогольного, наркотического или иного токсического опьянения и остаточных явлений такого опьянения.</w:t>
      </w:r>
      <w:r>
        <w:rPr>
          <w:color w:val="000000"/>
        </w:rPr>
      </w:r>
    </w:p>
    <w:p>
      <w:pPr>
        <w:ind w:firstLine="540"/>
        <w:jc w:val="both"/>
        <w:spacing w:line="288" w:lineRule="atLeast"/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</w:rPr>
        <w:t xml:space="preserve">Послерейсовые медицинские осмотры проводятся по окончании рабочего дня (смены, рейса) в целях выявления признаков в</w:t>
      </w:r>
      <w:r>
        <w:rPr>
          <w:color w:val="000000"/>
        </w:rPr>
        <w:t xml:space="preserve">оздействия вредных и (или) опасных производственных факторов рабочей среды и трудового процесса на состояние здоровья работников, острого профессионального заболевания или отравления, признаков алкогольного, наркотического или иного токсического опьянения.</w:t>
      </w:r>
      <w:r>
        <w:rPr>
          <w:color w:val="000000"/>
        </w:rPr>
      </w:r>
    </w:p>
    <w:p>
      <w:pPr>
        <w:ind w:firstLine="540"/>
        <w:jc w:val="both"/>
        <w:widowControl w:val="off"/>
      </w:pPr>
      <w:r/>
      <w:r/>
    </w:p>
    <w:p>
      <w:pPr>
        <w:jc w:val="both"/>
        <w:tabs>
          <w:tab w:val="left" w:pos="567" w:leader="none"/>
        </w:tabs>
        <w:rPr>
          <w:b/>
        </w:rPr>
      </w:pPr>
      <w:r>
        <w:rPr>
          <w:b/>
        </w:rPr>
        <w:t xml:space="preserve">2.2. Требования к срокам оказания услуг</w:t>
      </w:r>
      <w:r>
        <w:rPr>
          <w:b/>
        </w:rPr>
      </w:r>
    </w:p>
    <w:p>
      <w:pPr>
        <w:jc w:val="both"/>
        <w:rPr>
          <w:strike/>
        </w:rPr>
      </w:pPr>
      <w:r>
        <w:rPr>
          <w:strike/>
        </w:rPr>
      </w:r>
      <w:r>
        <w:t xml:space="preserve">Сроки оказания услуг по Договору:</w:t>
      </w:r>
      <w:r/>
      <w:r>
        <w:rPr>
          <w:strike/>
        </w:rPr>
      </w:r>
    </w:p>
    <w:p>
      <w:pPr>
        <w:jc w:val="both"/>
      </w:pPr>
      <w:r>
        <w:t xml:space="preserve">- начало оказания услуг: 01 января 2025 года;</w:t>
      </w:r>
      <w:r/>
    </w:p>
    <w:p>
      <w:pPr>
        <w:jc w:val="both"/>
      </w:pPr>
      <w:r>
        <w:t xml:space="preserve">- окончание оказания услуг: 31 декабря 2026 года.</w:t>
      </w:r>
      <w:r/>
    </w:p>
    <w:p>
      <w:pPr>
        <w:ind w:firstLine="708"/>
        <w:jc w:val="both"/>
        <w:widowControl w:val="off"/>
        <w:rPr>
          <w:bCs/>
          <w:iCs/>
        </w:rPr>
      </w:pPr>
      <w:r>
        <w:rPr>
          <w:bCs/>
          <w:iCs/>
        </w:rPr>
      </w:r>
      <w:r>
        <w:rPr>
          <w:bCs/>
          <w:iCs/>
        </w:rPr>
      </w:r>
    </w:p>
    <w:p>
      <w:pPr>
        <w:jc w:val="both"/>
        <w:tabs>
          <w:tab w:val="left" w:pos="567" w:leader="none"/>
          <w:tab w:val="left" w:pos="1260" w:leader="none"/>
        </w:tabs>
        <w:rPr>
          <w:b/>
        </w:rPr>
      </w:pPr>
      <w:r>
        <w:rPr>
          <w:b/>
        </w:rPr>
        <w:t xml:space="preserve">2.3. Нормативные требования к качеству услуг, их результату.</w:t>
      </w:r>
      <w:r>
        <w:rPr>
          <w:b/>
        </w:rPr>
      </w:r>
    </w:p>
    <w:p>
      <w:pPr>
        <w:ind w:firstLine="708"/>
        <w:jc w:val="both"/>
        <w:spacing w:after="160"/>
      </w:pPr>
      <w:r>
        <w:t xml:space="preserve">Предст</w:t>
      </w:r>
      <w:r>
        <w:t xml:space="preserve">авляемые медицинские услуги по качеству и гигиеническим требованиям должны соответствовать ФЗ «О безопасности дорожного движения» от 10.12.1995г.  № 196-ФЗ, Приказу Минздрава России от 30.05.2023г. № 266н "Об утверждении Порядка и периодичности проведения </w:t>
      </w:r>
      <w:r>
        <w:t xml:space="preserve">предсменных</w:t>
      </w:r>
      <w:r>
        <w:t xml:space="preserve">, предрейсовых, </w:t>
      </w:r>
      <w:r>
        <w:t xml:space="preserve">послесменных</w:t>
      </w:r>
      <w:r>
        <w:t xml:space="preserve">, послерейсовых медицинских осмотров, медицинских осмотров в течение рабочего дня (смены) и перечня включаемых в них исследований" (далее – Порядок) и Методическим рекомендациям «Медицинское об</w:t>
      </w:r>
      <w:r>
        <w:t xml:space="preserve">еспечение безопасности дорожного движения. Организация и порядок проведения предрейсовых медицинских осмотров водителей транспортных средств» (утв. Минздравом РФ и Минтрансом РФ 29 января 2002 г., письмо Минздрава России от 21.08.2003г. № 2510/9468-03-32).</w:t>
      </w:r>
      <w:r/>
    </w:p>
    <w:p>
      <w:pPr>
        <w:jc w:val="both"/>
        <w:tabs>
          <w:tab w:val="left" w:pos="567" w:leader="none"/>
        </w:tabs>
        <w:rPr>
          <w:b/>
        </w:rPr>
      </w:pPr>
      <w:r>
        <w:rPr>
          <w:b/>
        </w:rPr>
        <w:t xml:space="preserve">3. Требования к оказанию услуг</w:t>
      </w:r>
      <w:r>
        <w:rPr>
          <w:b/>
        </w:rPr>
      </w:r>
    </w:p>
    <w:p>
      <w:pPr>
        <w:jc w:val="both"/>
        <w:spacing w:before="120"/>
        <w:tabs>
          <w:tab w:val="left" w:pos="567" w:leader="none"/>
        </w:tabs>
        <w:rPr>
          <w:b/>
        </w:rPr>
      </w:pPr>
      <w:r>
        <w:rPr>
          <w:b/>
        </w:rPr>
        <w:t xml:space="preserve">3.1. </w:t>
      </w:r>
      <w:r>
        <w:rPr>
          <w:b/>
        </w:rPr>
        <w:tab/>
        <w:t xml:space="preserve">Объем оказываемых услуг</w:t>
      </w:r>
      <w:r>
        <w:rPr>
          <w:b/>
        </w:rPr>
      </w:r>
    </w:p>
    <w:p>
      <w:pPr>
        <w:jc w:val="both"/>
        <w:spacing w:before="120"/>
        <w:rPr>
          <w:color w:val="ff0000"/>
        </w:rPr>
      </w:pPr>
      <w:r>
        <w:t xml:space="preserve">3.1.1. Представляемые медицинские услуги по объему должны соответствовать ФЗ «О</w:t>
      </w:r>
      <w:r>
        <w:rPr>
          <w:b/>
          <w:sz w:val="22"/>
          <w:szCs w:val="22"/>
        </w:rPr>
        <w:t xml:space="preserve"> </w:t>
      </w:r>
      <w:r>
        <w:t xml:space="preserve">безопасности дорожного движения» от 10.12.1995г.  № 196-ФЗ, Минздрава России от 30.05.2023г. № 266н и Методическим рекомендациям «Медицинское обе</w:t>
      </w:r>
      <w:r>
        <w:t xml:space="preserve">спечение безопасности дорожного движения. Организация и порядок проведения предрейсовых медицинских осмотров водителей транспортных средств» (утв. Минздравом РФ и Минтрансом РФ 29 января 2002 г., письмо Минздрава России от 21.08.2003г. № 2510/9468-03-32). </w:t>
      </w:r>
      <w:r>
        <w:rPr>
          <w:color w:val="ff0000"/>
        </w:rPr>
      </w:r>
    </w:p>
    <w:p>
      <w:pPr>
        <w:jc w:val="both"/>
        <w:spacing w:before="120"/>
      </w:pPr>
      <w:r>
        <w:t xml:space="preserve">3.1.2. Медицинская услуга оказывается ежедневно, в том числе в выходные и праздничные дни с </w:t>
      </w:r>
      <w:bookmarkStart w:id="1" w:name="_Hlk83829685"/>
      <w:r>
        <w:t xml:space="preserve">8:00 до 11:00 и с 17:00 до 20:00 (в пятницу с 16.00 до 20.00), ориентировочно 60 человек в день</w:t>
      </w:r>
      <w:bookmarkEnd w:id="1"/>
      <w:r>
        <w:t xml:space="preserve">.</w:t>
      </w:r>
      <w:r/>
    </w:p>
    <w:p>
      <w:pPr>
        <w:jc w:val="both"/>
        <w:spacing w:before="12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3.1.3. При проведении предрейсовых и послерейсовых медицинских осмотров, Исполнителем обеспечивается идентификация личности работника Заказчика посредством контроля его документов, удостоверяющих личность.</w:t>
      </w:r>
      <w:r/>
    </w:p>
    <w:p>
      <w:pPr>
        <w:jc w:val="both"/>
        <w:spacing w:before="12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3.1.4. Предрейсовые и послерейсовые медицинские осмотры проводятся в следующем объеме:</w:t>
      </w:r>
      <w:r/>
    </w:p>
    <w:p>
      <w:pPr>
        <w:pStyle w:val="869"/>
        <w:numPr>
          <w:ilvl w:val="0"/>
          <w:numId w:val="2"/>
        </w:numPr>
        <w:jc w:val="both"/>
        <w:spacing w:after="0"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/>
          <w:color w:val="000000"/>
          <w:sz w:val="24"/>
        </w:rPr>
        <w:t xml:space="preserve">сбор жалоб, визуальный осмотр, выявление наличия признаков алкогольного, наркотиче</w:t>
      </w:r>
      <w:r>
        <w:rPr>
          <w:rFonts w:ascii="Times New Roman" w:hAnsi="Times New Roman" w:eastAsia="Times New Roman"/>
          <w:color w:val="000000"/>
          <w:sz w:val="24"/>
        </w:rPr>
        <w:t xml:space="preserve">ского или иного токсического опьянения и (или) остаточных явлений такого опьянения (не осуществляется в случае проведения медицинского осмотра с использованием медицинских изделий, за исключением визуального осмотра видимых кожных покровов осматриваемого);</w:t>
      </w:r>
      <w:r/>
    </w:p>
    <w:p>
      <w:pPr>
        <w:pStyle w:val="869"/>
        <w:numPr>
          <w:ilvl w:val="0"/>
          <w:numId w:val="1"/>
        </w:numPr>
        <w:jc w:val="both"/>
        <w:spacing w:after="0" w:line="288" w:lineRule="atLeast"/>
        <w:rPr>
          <w:rFonts w:ascii="Times New Roman" w:hAnsi="Times New Roman" w:eastAsia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 общая термометрия;</w:t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pStyle w:val="869"/>
        <w:numPr>
          <w:ilvl w:val="0"/>
          <w:numId w:val="1"/>
        </w:numPr>
        <w:jc w:val="both"/>
        <w:spacing w:after="0" w:line="288" w:lineRule="atLeast"/>
        <w:rPr>
          <w:rFonts w:ascii="Times New Roman" w:hAnsi="Times New Roman" w:eastAsia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измерение артериального давления на периферических артериях и исследование пульса;</w:t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pStyle w:val="869"/>
        <w:numPr>
          <w:ilvl w:val="0"/>
          <w:numId w:val="1"/>
        </w:numPr>
        <w:jc w:val="both"/>
        <w:spacing w:after="0" w:line="288" w:lineRule="atLeast"/>
        <w:rPr>
          <w:rFonts w:ascii="Times New Roman" w:hAnsi="Times New Roman" w:eastAsia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количественное определение алкоголя в выдыхаемом воздухе;</w:t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pStyle w:val="869"/>
        <w:numPr>
          <w:ilvl w:val="0"/>
          <w:numId w:val="1"/>
        </w:numPr>
        <w:jc w:val="both"/>
        <w:spacing w:after="0" w:line="288" w:lineRule="atLeast"/>
        <w:rPr>
          <w:rFonts w:ascii="Times New Roman" w:hAnsi="Times New Roman" w:eastAsia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определение наличия психоактивных веществ в моче (</w:t>
      </w:r>
      <w:r>
        <w:rPr>
          <w:rFonts w:ascii="Times New Roman" w:hAnsi="Times New Roman" w:eastAsia="Times New Roman"/>
          <w:color w:val="000000"/>
          <w:sz w:val="24"/>
        </w:rPr>
        <w:t xml:space="preserve">проводится при наличии признаков опьянения и отрицательных результатах исследования выдыхаемого воздуха на алкоголь).</w:t>
      </w:r>
      <w:r>
        <w:rPr>
          <w:rFonts w:ascii="Times New Roman" w:hAnsi="Times New Roman" w:eastAsia="Times New Roman"/>
          <w:color w:val="000000"/>
          <w:sz w:val="24"/>
          <w:szCs w:val="24"/>
        </w:rPr>
      </w:r>
    </w:p>
    <w:p>
      <w:pPr>
        <w:ind w:firstLine="540"/>
        <w:jc w:val="both"/>
        <w:spacing w:line="288" w:lineRule="atLeast"/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</w:rPr>
        <w:t xml:space="preserve">В случае регистрации у осматриваемого отклонения величины артериального давления или частоты пульса от нормативных значений проводится не более двух повторных исследований с интервалом не менее 5 минут и не более 10 минут.</w:t>
      </w:r>
      <w:r>
        <w:rPr>
          <w:color w:val="000000"/>
        </w:rPr>
      </w:r>
    </w:p>
    <w:p>
      <w:pPr>
        <w:ind w:firstLine="540"/>
        <w:jc w:val="both"/>
        <w:spacing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</w:rPr>
        <w:t xml:space="preserve">В случае неявки осматриваемого на повторное исследование учитываются первично полученные результаты измерения артериального давления на периферических артериях и исследование пульса.</w:t>
      </w:r>
      <w:r/>
    </w:p>
    <w:p>
      <w:pPr>
        <w:ind w:firstLine="540"/>
        <w:jc w:val="both"/>
        <w:spacing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</w:rPr>
        <w:t xml:space="preserve">Отбор мочи для определения наличия в ней психоактивных веществ осуществляется в соответствии с </w:t>
      </w:r>
      <w:hyperlink r:id="rId10" w:tooltip="http://spb1-cons02.interrao.ru/cgi/online.cgi?req=doc&amp;base=LAW&amp;n=58773&amp;date=30.09.2024" w:history="1">
        <w:r>
          <w:rPr>
            <w:color w:val="000000"/>
          </w:rPr>
          <w:t xml:space="preserve">приказом</w:t>
        </w:r>
      </w:hyperlink>
      <w:r>
        <w:rPr>
          <w:color w:val="000000"/>
        </w:rPr>
        <w:t xml:space="preserve"> Министерства здравоохранения и социального </w:t>
      </w:r>
      <w:r>
        <w:rPr>
          <w:color w:val="000000"/>
        </w:rPr>
        <w:t xml:space="preserve">развития Российской Федерации от 27 января 2006 г. N 40 "Об организации проведения химико-токсикологических исследований при аналитической диагностике наличия в организме человека алкоголя, наркотических средств, психотропных и других токсических веществ".</w:t>
      </w:r>
      <w:r/>
    </w:p>
    <w:p>
      <w:pPr>
        <w:jc w:val="both"/>
        <w:spacing w:before="12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3.1.5. При выявлении у осматриваемого признаков алкогольного, наркотического или иного токсического опьянения (ос</w:t>
      </w:r>
      <w:r>
        <w:t xml:space="preserve">таточных явлений такого опьянения) (при положительных или отрицательных результатах исследования выдыхаемого воздуха на наличие алкоголя) медицинский работник после проведения медицинского осмотра уведомляет об этом уполномоченного представителя Заказчика.</w:t>
      </w:r>
      <w:r/>
    </w:p>
    <w:p>
      <w:pPr>
        <w:jc w:val="both"/>
        <w:spacing w:before="120"/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3.1.6. По результатам прохождения медицинского осмотра медицинским работником выносятся медицинское заключение </w:t>
      </w:r>
      <w:r>
        <w:t xml:space="preserve">предусмотренны</w:t>
      </w:r>
      <w:r>
        <w:t xml:space="preserve"> п. 18, 19 Порядка, которые фиксируются в журнале</w:t>
      </w:r>
      <w:r>
        <w:t xml:space="preserve"> регистрации предрейсовых и послерейсовых медицинских осмотров на бумажном носителе, подписываемом медицинским работником, либо формируются в форме электронного документа, подписанного усиленной квалифицированной электронной подписью медицинского работника</w:t>
      </w:r>
      <w:r>
        <w:rPr>
          <w:color w:val="000000"/>
        </w:rPr>
        <w:t xml:space="preserve">.</w:t>
      </w:r>
      <w:r>
        <w:rPr>
          <w:color w:val="000000"/>
        </w:rPr>
      </w:r>
    </w:p>
    <w:p>
      <w:pPr>
        <w:jc w:val="both"/>
        <w:spacing w:before="120"/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</w:rPr>
        <w:t xml:space="preserve">3.1.7. В случае выявления медицинским работником по результатам медицинских осмотров признаков и (или) остаточных явлений, указанных в п подпун</w:t>
      </w:r>
      <w:r>
        <w:rPr>
          <w:color w:val="000000"/>
        </w:rPr>
        <w:t xml:space="preserve">кте первом пункта 18 Порядка или признаков указанных в подпункте первом пункта 19 порядка осматриваемому медицинским работником выдается справка, в которой указывается порядковый номер, дата и время проведения медицинского осмотра, предварительный диагноз.</w:t>
      </w:r>
      <w:r>
        <w:rPr>
          <w:color w:val="000000"/>
        </w:rPr>
      </w:r>
    </w:p>
    <w:p>
      <w:pPr>
        <w:ind w:firstLine="540"/>
        <w:jc w:val="both"/>
        <w:spacing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</w:rPr>
        <w:t xml:space="preserve">Справка подписывается медицинским раб</w:t>
      </w:r>
      <w:r>
        <w:rPr>
          <w:color w:val="000000"/>
        </w:rPr>
        <w:t xml:space="preserve">отником, проводившим медицинский осмотр, с указанием фамилии, имени и отчества (при наличии) медицинского работника, либо усиленной квалифицированной электронной подписью медицинского работника, в случае формирования справки в форме электронного документа.</w:t>
      </w:r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  <w:tabs>
          <w:tab w:val="left" w:pos="567" w:leader="none"/>
        </w:tabs>
        <w:rPr>
          <w:b/>
        </w:rPr>
      </w:pPr>
      <w:r>
        <w:rPr>
          <w:b/>
        </w:rPr>
        <w:t xml:space="preserve">3.2.</w:t>
      </w:r>
      <w:r>
        <w:rPr>
          <w:rFonts w:eastAsia="Cambria"/>
          <w:b/>
        </w:rPr>
        <w:t xml:space="preserve"> </w:t>
      </w:r>
      <w:r>
        <w:rPr>
          <w:b/>
        </w:rPr>
        <w:t xml:space="preserve">Требования к последовательности этапов оказания услуг</w:t>
      </w:r>
      <w:r>
        <w:rPr>
          <w:b/>
        </w:rPr>
      </w:r>
    </w:p>
    <w:p>
      <w:pPr>
        <w:jc w:val="both"/>
        <w:tabs>
          <w:tab w:val="left" w:pos="567" w:leader="none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tbl>
      <w:tblPr>
        <w:tblW w:w="9610" w:type="dxa"/>
        <w:tblInd w:w="-7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2234"/>
        <w:gridCol w:w="567"/>
        <w:gridCol w:w="567"/>
        <w:gridCol w:w="567"/>
        <w:gridCol w:w="533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>
        <w:tblPrEx/>
        <w:trPr>
          <w:cantSplit/>
          <w:trHeight w:val="3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6" w:type="dxa"/>
            <w:vAlign w:val="center"/>
            <w:vMerge w:val="restart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</w:p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п/п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vMerge w:val="restart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t xml:space="preserve">Наименование этапа/календарный месяц</w:t>
            </w:r>
            <w:r>
              <w:rPr>
                <w:szCs w:val="24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70" w:type="dxa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</w:pPr>
            <w:r>
              <w:rPr>
                <w:szCs w:val="24"/>
              </w:rPr>
              <w:t xml:space="preserve">График оказания услуг</w:t>
            </w:r>
            <w:r/>
          </w:p>
        </w:tc>
      </w:tr>
      <w:tr>
        <w:tblPrEx/>
        <w:trPr>
          <w:trHeight w:val="6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vMerge w:val="continue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</w:pPr>
            <w:r/>
            <w:r/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70" w:type="dxa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Количество работников, ежедневно проходящих медицинский осмотр*</w:t>
            </w:r>
            <w:r>
              <w:rPr>
                <w:szCs w:val="24"/>
              </w:rPr>
            </w:r>
          </w:p>
        </w:tc>
      </w:tr>
      <w:tr>
        <w:tblPrEx/>
        <w:trPr>
          <w:cantSplit/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6" w:type="dxa"/>
            <w:vAlign w:val="center"/>
            <w:vMerge w:val="continue"/>
            <w:textDirection w:val="lrTb"/>
            <w:noWrap w:val="false"/>
          </w:tcPr>
          <w:p>
            <w:pPr>
              <w:pStyle w:val="895"/>
              <w:ind w:left="0" w:firstLine="709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t xml:space="preserve">1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t xml:space="preserve">2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t xml:space="preserve">3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t xml:space="preserve">4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t xml:space="preserve">5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t xml:space="preserve">6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t xml:space="preserve">7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t xml:space="preserve">8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t xml:space="preserve">9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t xml:space="preserve">10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t xml:space="preserve">11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t xml:space="preserve">12</w:t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6" w:type="dxa"/>
            <w:vMerge w:val="restart"/>
            <w:textDirection w:val="lrTb"/>
            <w:noWrap w:val="false"/>
          </w:tcPr>
          <w:p>
            <w:pPr>
              <w:pStyle w:val="896"/>
              <w:ind w:left="0" w:firstLine="709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r>
              <w:t xml:space="preserve">1</w:t>
            </w:r>
            <w:r/>
          </w:p>
          <w:p>
            <w:pPr>
              <w:pStyle w:val="896"/>
              <w:ind w:left="0" w:firstLine="709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2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textDirection w:val="lrTb"/>
            <w:noWrap w:val="false"/>
          </w:tcPr>
          <w:p>
            <w:pPr>
              <w:pStyle w:val="895"/>
              <w:ind w:left="0"/>
              <w:spacing w:before="0" w:after="0"/>
              <w:tabs>
                <w:tab w:val="num" w:pos="0" w:leader="none"/>
              </w:tabs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Предрейсовые медицинские осмотры в 2025 году</w:t>
            </w:r>
            <w:r>
              <w:rPr>
                <w:i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60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60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60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60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60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60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60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60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60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60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60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60</w:t>
            </w:r>
            <w:r>
              <w:rPr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6" w:type="dxa"/>
            <w:vMerge w:val="restart"/>
            <w:textDirection w:val="lrTb"/>
            <w:noWrap w:val="false"/>
          </w:tcPr>
          <w:p>
            <w: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Merge w:val="restart"/>
            <w:textDirection w:val="lrTb"/>
            <w:noWrap w:val="false"/>
          </w:tcPr>
          <w:p>
            <w:pPr>
              <w:pStyle w:val="895"/>
              <w:ind w:left="0"/>
              <w:spacing w:before="0" w:after="0"/>
              <w:tabs>
                <w:tab w:val="num" w:pos="0" w:leader="none"/>
              </w:tabs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Послерейсовые медицинские осмотры в 2025 году</w:t>
            </w:r>
            <w:r>
              <w:rPr>
                <w:i/>
                <w:szCs w:val="24"/>
              </w:rPr>
            </w:r>
          </w:p>
          <w:p>
            <w:pPr>
              <w:pStyle w:val="895"/>
              <w:ind w:left="0"/>
              <w:spacing w:before="0" w:after="0"/>
              <w:tabs>
                <w:tab w:val="num" w:pos="0" w:leader="none"/>
              </w:tabs>
              <w:rPr>
                <w:i/>
                <w:szCs w:val="24"/>
              </w:rPr>
            </w:pP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60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60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60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vMerge w:val="restart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60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60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60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60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60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60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60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60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95"/>
              <w:ind w:left="0"/>
              <w:jc w:val="center"/>
              <w:spacing w:before="0" w:after="0"/>
              <w:tabs>
                <w:tab w:val="num" w:pos="0" w:leader="none"/>
              </w:tabs>
              <w:rPr>
                <w:szCs w:val="24"/>
              </w:rPr>
            </w:pPr>
            <w:r>
              <w:rPr>
                <w:szCs w:val="24"/>
              </w:rPr>
              <w:t xml:space="preserve">60</w:t>
            </w:r>
            <w:r>
              <w:rPr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6" w:type="dxa"/>
            <w:vMerge w:val="restart"/>
            <w:textDirection w:val="lrTb"/>
            <w:noWrap w:val="false"/>
          </w:tcPr>
          <w:p>
            <w: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Merge w:val="restart"/>
            <w:textDirection w:val="lrTb"/>
            <w:noWrap w:val="false"/>
          </w:tcPr>
          <w:p>
            <w:pPr>
              <w:pStyle w:val="895"/>
              <w:ind w:left="0"/>
              <w:spacing w:before="0" w:after="0"/>
              <w:tabs>
                <w:tab w:val="num" w:pos="0" w:leader="none"/>
              </w:tabs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Предрейсовые медицинские осмотры в 2026 году</w:t>
            </w:r>
            <w:r>
              <w:rPr>
                <w:i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r>
              <w:t xml:space="preserve">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r>
              <w:t xml:space="preserve">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r>
              <w:t xml:space="preserve">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vMerge w:val="restart"/>
            <w:textDirection w:val="lrTb"/>
            <w:noWrap w:val="false"/>
          </w:tcPr>
          <w:p>
            <w:r>
              <w:t xml:space="preserve">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r>
              <w:t xml:space="preserve">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r>
              <w:t xml:space="preserve">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r>
              <w:t xml:space="preserve">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r>
              <w:t xml:space="preserve">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r>
              <w:t xml:space="preserve">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r>
              <w:t xml:space="preserve">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r>
              <w:t xml:space="preserve">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r>
              <w:t xml:space="preserve">60</w:t>
            </w:r>
            <w:r/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6" w:type="dxa"/>
            <w:vMerge w:val="restart"/>
            <w:textDirection w:val="lrTb"/>
            <w:noWrap w:val="false"/>
          </w:tcPr>
          <w:p>
            <w: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Merge w:val="restart"/>
            <w:textDirection w:val="lrTb"/>
            <w:noWrap w:val="false"/>
          </w:tcPr>
          <w:p>
            <w:pPr>
              <w:pStyle w:val="895"/>
              <w:ind w:left="0"/>
              <w:spacing w:before="0" w:after="0"/>
              <w:tabs>
                <w:tab w:val="num" w:pos="0" w:leader="none"/>
              </w:tabs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Послерейсовые медицинские осмотры в 2026 году</w:t>
            </w:r>
            <w:r>
              <w:rPr>
                <w:i/>
                <w:szCs w:val="24"/>
              </w:rPr>
            </w:r>
          </w:p>
          <w:p>
            <w:pPr>
              <w:pStyle w:val="895"/>
              <w:ind w:left="0"/>
              <w:spacing w:before="0" w:after="0"/>
              <w:tabs>
                <w:tab w:val="num" w:pos="0" w:leader="none"/>
              </w:tabs>
              <w:rPr>
                <w:i/>
                <w:szCs w:val="24"/>
              </w:rPr>
            </w:pP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r>
              <w:t xml:space="preserve">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r>
              <w:t xml:space="preserve">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r>
              <w:t xml:space="preserve">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vMerge w:val="restart"/>
            <w:textDirection w:val="lrTb"/>
            <w:noWrap w:val="false"/>
          </w:tcPr>
          <w:p>
            <w:r>
              <w:t xml:space="preserve">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r>
              <w:t xml:space="preserve">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r>
              <w:t xml:space="preserve">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r>
              <w:t xml:space="preserve">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r>
              <w:t xml:space="preserve">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r>
              <w:t xml:space="preserve">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r>
              <w:t xml:space="preserve">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r>
              <w:t xml:space="preserve">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r>
              <w:t xml:space="preserve">60</w:t>
            </w:r>
            <w:r/>
          </w:p>
        </w:tc>
      </w:tr>
    </w:tbl>
    <w:p>
      <w:pPr>
        <w:jc w:val="both"/>
        <w:tabs>
          <w:tab w:val="left" w:pos="567" w:leader="none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jc w:val="both"/>
        <w:tabs>
          <w:tab w:val="left" w:pos="567" w:leader="none"/>
        </w:tabs>
        <w:rPr>
          <w:color w:val="000000"/>
        </w:rPr>
      </w:pPr>
      <w:r>
        <w:rPr>
          <w:color w:val="000000"/>
        </w:rPr>
        <w:t xml:space="preserve">* количество работников указано ориентировочно и может изменяться в соответствии с фактическими потребностями Заказчика.</w:t>
      </w:r>
      <w:r>
        <w:rPr>
          <w:color w:val="000000"/>
        </w:rPr>
      </w:r>
    </w:p>
    <w:p>
      <w:pPr>
        <w:jc w:val="both"/>
        <w:tabs>
          <w:tab w:val="left" w:pos="567" w:leader="none"/>
        </w:tabs>
        <w:rPr>
          <w:bCs/>
          <w:iCs/>
        </w:rPr>
      </w:pPr>
      <w:r>
        <w:rPr>
          <w:bCs/>
          <w:iCs/>
        </w:rPr>
      </w:r>
      <w:r>
        <w:rPr>
          <w:bCs/>
          <w:iCs/>
        </w:rPr>
      </w:r>
    </w:p>
    <w:p>
      <w:pPr>
        <w:jc w:val="both"/>
        <w:tabs>
          <w:tab w:val="left" w:pos="567" w:leader="none"/>
        </w:tabs>
        <w:rPr>
          <w:b/>
        </w:rPr>
      </w:pPr>
      <w:r>
        <w:rPr>
          <w:b/>
        </w:rPr>
        <w:t xml:space="preserve">3.3. Требования к организации обеспечения услуг</w:t>
      </w:r>
      <w:r>
        <w:rPr>
          <w:b/>
        </w:rPr>
      </w:r>
    </w:p>
    <w:p>
      <w:pPr>
        <w:jc w:val="both"/>
        <w:tabs>
          <w:tab w:val="left" w:pos="567" w:leader="none"/>
          <w:tab w:val="num" w:pos="720" w:leader="none"/>
          <w:tab w:val="left" w:pos="1260" w:leader="none"/>
        </w:tabs>
      </w:pPr>
      <w:r>
        <w:t xml:space="preserve">3.3.1. Оказание услуг осуществляется штатными медицинскими</w:t>
      </w:r>
      <w:r>
        <w:t xml:space="preserve"> работниками Исполнителя в количестве 2 человек. На время отпуска/отсутствия штатного сотрудника Исполнителя, Исполнитель предоставляет Заказчику не менее квалифицированного сотрудника для беспрерывного выполнения своих обязательств по настоящему Договору.</w:t>
      </w:r>
      <w:r/>
    </w:p>
    <w:p>
      <w:pPr>
        <w:pStyle w:val="8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3.3.2. Исполнитель обязан обеспечить постоянное наличие: алкометров - 2 шт., экспресс-тестов на алкоголь, экспресс-тестов на наркотики - 10 </w:t>
      </w:r>
      <w:r>
        <w:rPr>
          <w:rFonts w:ascii="Times New Roman" w:hAnsi="Times New Roman" w:cs="Times New Roman"/>
          <w:sz w:val="24"/>
          <w:szCs w:val="24"/>
        </w:rPr>
        <w:t xml:space="preserve">шт</w:t>
      </w:r>
      <w:r>
        <w:rPr>
          <w:rFonts w:ascii="Times New Roman" w:hAnsi="Times New Roman" w:cs="Times New Roman"/>
          <w:sz w:val="24"/>
          <w:szCs w:val="24"/>
        </w:rPr>
        <w:t xml:space="preserve">; приборов для проведения термометрии - 3 </w:t>
      </w:r>
      <w:r>
        <w:rPr>
          <w:rFonts w:ascii="Times New Roman" w:hAnsi="Times New Roman" w:cs="Times New Roman"/>
          <w:sz w:val="24"/>
          <w:szCs w:val="24"/>
        </w:rPr>
        <w:t xml:space="preserve">шт</w:t>
      </w:r>
      <w:r>
        <w:rPr>
          <w:rFonts w:ascii="Times New Roman" w:hAnsi="Times New Roman" w:cs="Times New Roman"/>
          <w:sz w:val="24"/>
          <w:szCs w:val="24"/>
        </w:rPr>
        <w:t xml:space="preserve">; приборов для измерения артериального давления на периферических артериях и исследования пульса - 2 шт.; контейнеры для сбора мочи – не менее 5 шт.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tabs>
          <w:tab w:val="left" w:pos="567" w:leader="none"/>
        </w:tabs>
        <w:rPr>
          <w:rFonts w:eastAsia="Cambria"/>
          <w:b/>
        </w:rPr>
      </w:pPr>
      <w:r>
        <w:rPr>
          <w:rFonts w:eastAsia="Cambria"/>
          <w:b/>
        </w:rPr>
      </w:r>
      <w:r>
        <w:rPr>
          <w:rFonts w:eastAsia="Cambria"/>
          <w:b/>
        </w:rPr>
      </w:r>
    </w:p>
    <w:p>
      <w:pPr>
        <w:jc w:val="both"/>
        <w:tabs>
          <w:tab w:val="left" w:pos="567" w:leader="none"/>
        </w:tabs>
        <w:rPr>
          <w:rFonts w:eastAsia="Cambria"/>
          <w:b/>
        </w:rPr>
      </w:pPr>
      <w:r>
        <w:rPr>
          <w:rFonts w:eastAsia="Cambria"/>
          <w:b/>
        </w:rPr>
        <w:t xml:space="preserve">3.4. </w:t>
      </w:r>
      <w:r>
        <w:rPr>
          <w:b/>
        </w:rPr>
        <w:t xml:space="preserve">Требования к применяемым материалам и оборудованию  </w:t>
      </w:r>
      <w:r>
        <w:rPr>
          <w:rFonts w:eastAsia="Cambria"/>
          <w:b/>
        </w:rPr>
      </w:r>
    </w:p>
    <w:p>
      <w:pPr>
        <w:pStyle w:val="869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3.4.1. В случае использования материалов зарубежного производства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Исполнитель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обязан проверить их на соответствие требованиям нормативно-технической документации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РФ.</w:t>
      </w:r>
      <w:r>
        <w:rPr>
          <w:rFonts w:ascii="Times New Roman" w:hAnsi="Times New Roman"/>
          <w:color w:val="000000" w:themeColor="text1"/>
          <w:sz w:val="24"/>
          <w:szCs w:val="24"/>
        </w:rPr>
      </w:r>
    </w:p>
    <w:p>
      <w:pPr>
        <w:pStyle w:val="869"/>
        <w:ind w:left="0"/>
        <w:jc w:val="both"/>
        <w:rPr>
          <w:b/>
          <w:color w:val="000000" w:themeColor="text1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3.4.2. Используемые при оказании услуг товары должны соответствовать требованиям, установленным п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постановлением).</w:t>
      </w:r>
      <w:r>
        <w:rPr>
          <w:b/>
          <w:color w:val="000000" w:themeColor="text1"/>
        </w:rPr>
      </w:r>
    </w:p>
    <w:p>
      <w:pPr>
        <w:jc w:val="both"/>
        <w:tabs>
          <w:tab w:val="left" w:pos="567" w:leader="none"/>
          <w:tab w:val="left" w:pos="1260" w:leader="none"/>
        </w:tabs>
        <w:rPr>
          <w:b/>
        </w:rPr>
      </w:pPr>
      <w:r>
        <w:rPr>
          <w:b/>
        </w:rPr>
        <w:t xml:space="preserve">3.5. Требования безопасности</w:t>
      </w:r>
      <w:r>
        <w:rPr>
          <w:b/>
        </w:rPr>
      </w:r>
    </w:p>
    <w:p>
      <w:pPr>
        <w:jc w:val="both"/>
        <w:tabs>
          <w:tab w:val="left" w:pos="567" w:leader="none"/>
          <w:tab w:val="left" w:pos="1260" w:leader="none"/>
        </w:tabs>
      </w:pPr>
      <w:r>
        <w:tab/>
        <w:t xml:space="preserve">Не требуется.</w:t>
      </w:r>
      <w:r/>
    </w:p>
    <w:p>
      <w:pPr>
        <w:jc w:val="both"/>
        <w:tabs>
          <w:tab w:val="left" w:pos="567" w:leader="none"/>
          <w:tab w:val="left" w:pos="1260" w:leader="none"/>
        </w:tabs>
      </w:pPr>
      <w:r/>
      <w:r/>
    </w:p>
    <w:p>
      <w:pPr>
        <w:jc w:val="both"/>
        <w:tabs>
          <w:tab w:val="left" w:pos="567" w:leader="none"/>
          <w:tab w:val="left" w:pos="1260" w:leader="none"/>
        </w:tabs>
        <w:rPr>
          <w:iCs/>
        </w:rPr>
      </w:pPr>
      <w:r>
        <w:t xml:space="preserve"> </w:t>
      </w:r>
      <w:r>
        <w:rPr>
          <w:b/>
        </w:rPr>
        <w:t xml:space="preserve">3.6. Требования к порядку подготовки и передачи заказчику документов при оказании услуг и их завершении</w:t>
      </w:r>
      <w:r>
        <w:rPr>
          <w:iCs/>
        </w:rPr>
      </w:r>
    </w:p>
    <w:p>
      <w:pPr>
        <w:jc w:val="both"/>
        <w:tabs>
          <w:tab w:val="left" w:pos="180" w:leader="none"/>
        </w:tabs>
      </w:pPr>
      <w:r>
        <w:tab/>
      </w:r>
      <w:r>
        <w:tab/>
        <w:t xml:space="preserve">Порядок оформления итоговых документов по результатам оказанных услуг определен в п. 5 проекта договора, включенном в состав закупочной документации. </w:t>
      </w:r>
      <w:r/>
    </w:p>
    <w:p>
      <w:pPr>
        <w:jc w:val="both"/>
        <w:tabs>
          <w:tab w:val="left" w:pos="180" w:leader="none"/>
        </w:tabs>
      </w:pPr>
      <w:r/>
      <w:r/>
    </w:p>
    <w:p>
      <w:pPr>
        <w:jc w:val="both"/>
        <w:rPr>
          <w:b/>
        </w:rPr>
      </w:pPr>
      <w:r>
        <w:rPr>
          <w:b/>
        </w:rPr>
        <w:t xml:space="preserve">3.7. Требования к гарантийным обязательствам</w:t>
      </w:r>
      <w:r>
        <w:rPr>
          <w:b/>
        </w:rPr>
      </w:r>
    </w:p>
    <w:p>
      <w:pPr>
        <w:jc w:val="both"/>
        <w:tabs>
          <w:tab w:val="left" w:pos="567" w:leader="none"/>
          <w:tab w:val="left" w:pos="1260" w:leader="none"/>
        </w:tabs>
      </w:pPr>
      <w:r>
        <w:tab/>
        <w:t xml:space="preserve">Не требуется.</w:t>
      </w:r>
      <w:r/>
    </w:p>
    <w:p>
      <w:pPr>
        <w:jc w:val="both"/>
        <w:tabs>
          <w:tab w:val="left" w:pos="567" w:leader="none"/>
          <w:tab w:val="left" w:pos="1260" w:leader="none"/>
        </w:tabs>
      </w:pPr>
      <w:r/>
      <w:r/>
    </w:p>
    <w:p>
      <w:pPr>
        <w:jc w:val="both"/>
        <w:tabs>
          <w:tab w:val="left" w:pos="567" w:leader="none"/>
          <w:tab w:val="left" w:pos="1260" w:leader="none"/>
        </w:tabs>
      </w:pPr>
      <w:r>
        <w:rPr>
          <w:b/>
        </w:rPr>
        <w:t xml:space="preserve">3.8. Ответственность исполнителя</w:t>
      </w:r>
      <w:r/>
    </w:p>
    <w:p>
      <w:pPr>
        <w:ind w:firstLine="709"/>
        <w:jc w:val="both"/>
      </w:pPr>
      <w:r>
        <w:t xml:space="preserve">Если услуга оказана Исполнителем с отступлениями от Договора, ухудшившими результат услуг, или с и</w:t>
      </w:r>
      <w:r>
        <w:t xml:space="preserve">ными недостатками, Заказчик вправе по своему выбору потребовать от Исполнителя безвозмездного устранения недостатков в разумный срок, соразмерного уменьшения установленной за услугу цены, возмещения понесенных Заказчиком расходов на устранение недостатков.</w:t>
      </w:r>
      <w:r/>
    </w:p>
    <w:p>
      <w:pPr>
        <w:jc w:val="both"/>
        <w:tabs>
          <w:tab w:val="left" w:pos="567" w:leader="none"/>
        </w:tabs>
      </w:pPr>
      <w:r/>
      <w:r/>
    </w:p>
    <w:p>
      <w:pPr>
        <w:jc w:val="both"/>
        <w:tabs>
          <w:tab w:val="left" w:pos="567" w:leader="none"/>
        </w:tabs>
        <w:rPr>
          <w:rFonts w:eastAsia="Cambria"/>
          <w:b/>
        </w:rPr>
      </w:pPr>
      <w:r>
        <w:rPr>
          <w:b/>
        </w:rPr>
        <w:t xml:space="preserve">3.9.</w:t>
      </w:r>
      <w:r>
        <w:rPr>
          <w:rFonts w:eastAsia="Cambria"/>
          <w:b/>
        </w:rPr>
        <w:t xml:space="preserve"> </w:t>
      </w:r>
      <w:r>
        <w:rPr>
          <w:b/>
        </w:rPr>
        <w:t xml:space="preserve">Требования к порядку привлечению субподрядчиков </w:t>
      </w:r>
      <w:r>
        <w:rPr>
          <w:rFonts w:eastAsia="Cambria"/>
          <w:b/>
        </w:rPr>
      </w:r>
    </w:p>
    <w:p>
      <w:pPr>
        <w:jc w:val="both"/>
        <w:tabs>
          <w:tab w:val="left" w:pos="567" w:leader="none"/>
        </w:tabs>
        <w:rPr>
          <w:color w:val="000000" w:themeColor="text1"/>
        </w:rPr>
      </w:pPr>
      <w:r>
        <w:tab/>
      </w:r>
      <w:r>
        <w:rPr>
          <w:bCs/>
          <w:shd w:val="clear" w:color="auto" w:fill="ffffff"/>
          <w:lang w:eastAsia="en-US"/>
        </w:rPr>
        <w:t xml:space="preserve">Исполнитель для оказания услуг, указанных в техническом задании, может привлекать субподрядчиков (соисполнителей). </w:t>
      </w:r>
      <w:r>
        <w:rPr>
          <w:color w:val="000000" w:themeColor="text1"/>
        </w:rPr>
        <w:t xml:space="preserve">При этом объем работ, выполняемых привлекаемыми субподрядными организациями, не должен превышать 50% от объема работ по договору.</w:t>
      </w:r>
      <w:r>
        <w:rPr>
          <w:color w:val="000000" w:themeColor="text1"/>
        </w:rPr>
      </w:r>
    </w:p>
    <w:p>
      <w:pPr>
        <w:ind w:firstLine="567"/>
        <w:jc w:val="both"/>
        <w:tabs>
          <w:tab w:val="left" w:pos="851" w:leader="none"/>
          <w:tab w:val="left" w:pos="993" w:leader="none"/>
        </w:tabs>
        <w:rPr>
          <w:bCs/>
          <w:shd w:val="clear" w:color="auto" w:fill="ffffff"/>
          <w:lang w:eastAsia="en-US"/>
        </w:rPr>
      </w:pPr>
      <w:r>
        <w:rPr>
          <w:bCs/>
          <w:shd w:val="clear" w:color="auto" w:fill="ffffff"/>
          <w:lang w:eastAsia="en-US"/>
        </w:rPr>
        <w:t xml:space="preserve">Требования к субподрядчикам (соисполнителям) указаны в соответствующих разделах данного технического задания, а также закупочной документации. </w:t>
      </w:r>
      <w:r>
        <w:rPr>
          <w:bCs/>
          <w:shd w:val="clear" w:color="auto" w:fill="ffffff"/>
          <w:lang w:eastAsia="en-US"/>
        </w:rPr>
      </w:r>
    </w:p>
    <w:p>
      <w:pPr>
        <w:ind w:right="40" w:firstLine="567"/>
        <w:jc w:val="both"/>
        <w:spacing w:line="274" w:lineRule="exact"/>
        <w:shd w:val="clear" w:color="auto" w:fill="ffffff"/>
        <w:rPr>
          <w:bCs/>
          <w:color w:val="000000"/>
          <w:shd w:val="clear" w:color="auto" w:fill="ffffff"/>
          <w:lang w:bidi="ru-RU"/>
        </w:rPr>
      </w:pPr>
      <w:r>
        <w:rPr>
          <w:bCs/>
          <w:shd w:val="clear" w:color="auto" w:fill="ffffff"/>
          <w:lang w:eastAsia="en-US"/>
        </w:rPr>
        <w:t xml:space="preserve">В случае замены </w:t>
      </w:r>
      <w:r>
        <w:rPr>
          <w:bCs/>
          <w:shd w:val="clear" w:color="auto" w:fill="ffffff"/>
          <w:lang w:eastAsia="en-US"/>
        </w:rPr>
        <w:t xml:space="preserve">или привлечения новых субподрядчиков (соисполнителей) после завершения закупочной процедуры, информация о которых ранее не была представлена в заявке участника, Исполнитель должен согласовать привлечение таких субподрядчиков (соисполнителей) с Заказчиком. </w:t>
      </w:r>
      <w:r>
        <w:rPr>
          <w:bCs/>
          <w:color w:val="000000"/>
          <w:shd w:val="clear" w:color="auto" w:fill="ffffff"/>
          <w:lang w:bidi="ru-RU"/>
        </w:rPr>
      </w:r>
    </w:p>
    <w:p>
      <w:pPr>
        <w:ind w:right="40" w:firstLine="567"/>
        <w:jc w:val="both"/>
        <w:spacing w:line="274" w:lineRule="exact"/>
        <w:shd w:val="clear" w:color="auto" w:fill="ffffff"/>
        <w:rPr>
          <w:bCs/>
          <w:color w:val="000000"/>
          <w:shd w:val="clear" w:color="auto" w:fill="ffffff"/>
          <w:lang w:bidi="ru-RU"/>
        </w:rPr>
      </w:pPr>
      <w:r>
        <w:rPr>
          <w:bCs/>
          <w:shd w:val="clear" w:color="auto" w:fill="ffffff"/>
          <w:lang w:eastAsia="en-US"/>
        </w:rPr>
        <w:t xml:space="preserve">Критерием для согласования Заказчиком иных субподрядчиков (соисполнителей), незаявленных Исполнителем на этапе подачи заявок, является их соответствие требованиям, указанным в разделе </w:t>
      </w:r>
      <w:r>
        <w:rPr>
          <w:bCs/>
          <w:shd w:val="clear" w:color="auto" w:fill="ffffff"/>
          <w:lang w:eastAsia="en-US"/>
        </w:rPr>
        <w:t xml:space="preserve">5  настоящего</w:t>
      </w:r>
      <w:r>
        <w:rPr>
          <w:bCs/>
          <w:shd w:val="clear" w:color="auto" w:fill="ffffff"/>
          <w:lang w:eastAsia="en-US"/>
        </w:rPr>
        <w:t xml:space="preserve"> технического задания.</w:t>
      </w:r>
      <w:r>
        <w:rPr>
          <w:bCs/>
          <w:color w:val="000000"/>
          <w:shd w:val="clear" w:color="auto" w:fill="ffffff"/>
          <w:lang w:bidi="ru-RU"/>
        </w:rPr>
      </w:r>
    </w:p>
    <w:p>
      <w:pPr>
        <w:ind w:right="40" w:firstLine="567"/>
        <w:jc w:val="both"/>
        <w:spacing w:line="274" w:lineRule="exact"/>
        <w:shd w:val="clear" w:color="auto" w:fill="ffffff"/>
        <w:rPr>
          <w:bCs/>
          <w:color w:val="000000"/>
          <w:shd w:val="clear" w:color="auto" w:fill="ffffff"/>
          <w:lang w:bidi="ru-RU"/>
        </w:rPr>
      </w:pPr>
      <w:r>
        <w:rPr>
          <w:bCs/>
          <w:shd w:val="clear" w:color="auto" w:fill="ffffff"/>
          <w:lang w:eastAsia="en-US"/>
        </w:rPr>
        <w:t xml:space="preserve">Порядок привлечения субподрядчиков (соисполнителей), незаявленных Исполнителем на этапе подачи заявок: Исполнитель направляет в адрес</w:t>
      </w:r>
      <w:r>
        <w:rPr>
          <w:bCs/>
          <w:shd w:val="clear" w:color="auto" w:fill="ffffff"/>
          <w:lang w:eastAsia="en-US"/>
        </w:rPr>
        <w:t xml:space="preserve"> Заказчика письменную заявку о согласовании привлекаемого субподрядчика (соисполнителя) с приложением документов, подтверждающих соответствие субподрядчика (соисполнителя) требованиям, указанным в разделе 5  настоящего технического задания, а также письмен</w:t>
      </w:r>
      <w:r>
        <w:rPr>
          <w:bCs/>
          <w:shd w:val="clear" w:color="auto" w:fill="ffffff"/>
          <w:lang w:eastAsia="en-US"/>
        </w:rPr>
        <w:t xml:space="preserve">ное согласие субподрядчика (соисполнителя) на привлечение к оказанию услуг по договору, являющемуся предметом закупки. Заказчик направляет уведомление в адрес Исполнителя о согласовании/не согласовании планируемого к привлечению субподрядчика (соисполнител</w:t>
      </w:r>
      <w:r>
        <w:rPr>
          <w:bCs/>
          <w:shd w:val="clear" w:color="auto" w:fill="ffffff"/>
          <w:lang w:eastAsia="en-US"/>
        </w:rPr>
        <w:t xml:space="preserve">я) в письменном виде не позднее 10 рабочих дней с даты поступления соответствующей заявки от Исполнителя. В случае не направления Заказчиком ответа в адрес Исполнителя в установленный срок кандидатура привлекаемого субподрядчика (соисполнителя) считается с</w:t>
      </w:r>
      <w:r>
        <w:rPr>
          <w:bCs/>
          <w:shd w:val="clear" w:color="auto" w:fill="ffffff"/>
          <w:lang w:eastAsia="en-US"/>
        </w:rPr>
        <w:t xml:space="preserve">огласованной сторонами. В случае отказа Заказчика в согласовании привлекаемого субподрядчика (соисполнителя) по критериям, установленным в настоящем пункте, в адрес Исполнителя направляется соответствующий ответ в срок, не превышающий 10-ти рабочих дней.  </w:t>
      </w:r>
      <w:r>
        <w:rPr>
          <w:bCs/>
          <w:color w:val="000000"/>
          <w:shd w:val="clear" w:color="auto" w:fill="ffffff"/>
          <w:lang w:bidi="ru-RU"/>
        </w:rPr>
      </w:r>
    </w:p>
    <w:p>
      <w:pPr>
        <w:ind w:firstLine="567"/>
        <w:jc w:val="both"/>
        <w:tabs>
          <w:tab w:val="left" w:pos="567" w:leader="none"/>
        </w:tabs>
        <w:rPr>
          <w:bCs/>
          <w:shd w:val="clear" w:color="auto" w:fill="ffffff"/>
          <w:lang w:eastAsia="en-US"/>
        </w:rPr>
      </w:pPr>
      <w:r>
        <w:rPr>
          <w:bCs/>
          <w:shd w:val="clear" w:color="auto" w:fill="ffffff"/>
          <w:lang w:eastAsia="en-US"/>
        </w:rPr>
        <w:t xml:space="preserve">Изменение критериев и порядка согласования субподрядчиков (соисполнителей) на этапе исполнения договора допускается по письменному соглашению сторон.</w:t>
      </w:r>
      <w:r>
        <w:rPr>
          <w:bCs/>
          <w:shd w:val="clear" w:color="auto" w:fill="ffffff"/>
          <w:lang w:eastAsia="en-US"/>
        </w:rPr>
      </w:r>
    </w:p>
    <w:p>
      <w:pPr>
        <w:jc w:val="both"/>
        <w:tabs>
          <w:tab w:val="left" w:pos="567" w:leader="none"/>
        </w:tabs>
      </w:pPr>
      <w:r/>
      <w:r/>
    </w:p>
    <w:p>
      <w:pPr>
        <w:jc w:val="both"/>
        <w:tabs>
          <w:tab w:val="left" w:pos="567" w:leader="none"/>
        </w:tabs>
        <w:rPr>
          <w:rFonts w:eastAsia="Cambria"/>
          <w:b/>
        </w:rPr>
      </w:pPr>
      <w:r>
        <w:rPr>
          <w:rFonts w:eastAsia="Cambria"/>
          <w:b/>
        </w:rPr>
        <w:t xml:space="preserve">4. Порядок формирования коммерческого предложения участника, обоснования цены, расчетов</w:t>
      </w:r>
      <w:r>
        <w:rPr>
          <w:rFonts w:eastAsia="Cambria"/>
          <w:b/>
        </w:rPr>
      </w:r>
    </w:p>
    <w:p>
      <w:pPr>
        <w:ind w:firstLine="567"/>
        <w:jc w:val="both"/>
      </w:pPr>
      <w:r>
        <w:t xml:space="preserve">Калькуляция на проведение предрейсовых и послерейсовых медосмотров должна быть выполнена исходя из фиксированной стоимости услуг в месяц. </w:t>
      </w:r>
      <w:r>
        <w:rPr>
          <w:rFonts w:eastAsiaTheme="minorEastAsia"/>
        </w:rPr>
        <w:t xml:space="preserve"> </w:t>
      </w:r>
      <w:r>
        <w:rPr>
          <w:b/>
        </w:rPr>
        <w:t xml:space="preserve">Коммерческое предложение</w:t>
      </w:r>
      <w:r>
        <w:t xml:space="preserve"> формируется по </w:t>
      </w:r>
      <w:r>
        <w:rPr>
          <w:color w:val="000000" w:themeColor="text1"/>
        </w:rPr>
        <w:t xml:space="preserve">форме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4 </w:t>
      </w:r>
      <w:r>
        <w:rPr>
          <w:color w:val="000000" w:themeColor="text1"/>
        </w:rPr>
        <w:t xml:space="preserve">«</w:t>
      </w:r>
      <w:r>
        <w:rPr>
          <w:color w:val="000000" w:themeColor="text1"/>
        </w:rPr>
        <w:t xml:space="preserve">Сводная таблица стоимости работ/услуг»</w:t>
      </w:r>
      <w:r>
        <w:rPr>
          <w:color w:val="000000" w:themeColor="text1"/>
        </w:rPr>
        <w:t xml:space="preserve">, </w:t>
      </w:r>
      <w:r>
        <w:rPr>
          <w:color w:val="000000" w:themeColor="text1"/>
        </w:rPr>
        <w:t xml:space="preserve">пр</w:t>
      </w:r>
      <w:r>
        <w:t xml:space="preserve">едставленной в закупочной документации.</w:t>
      </w:r>
      <w:r/>
    </w:p>
    <w:p>
      <w:pPr>
        <w:ind w:firstLine="567"/>
        <w:jc w:val="both"/>
        <w:tabs>
          <w:tab w:val="left" w:pos="567" w:leader="none"/>
        </w:tabs>
        <w:rPr>
          <w:rFonts w:eastAsia="Calibri"/>
          <w:bCs/>
          <w:lang w:eastAsia="en-US"/>
        </w:rPr>
      </w:pPr>
      <w:r>
        <w:rPr>
          <w:bCs/>
        </w:rPr>
        <w:t xml:space="preserve">Стоимость услуг включает в себя все расходы Участника, связанные с оказанием услуг, </w:t>
      </w:r>
      <w:r>
        <w:t xml:space="preserve">налоги, сборы, пошлины и иные сопутствующие расходы </w:t>
      </w:r>
      <w:r>
        <w:rPr>
          <w:bCs/>
        </w:rPr>
        <w:t xml:space="preserve">Участника.</w:t>
      </w:r>
      <w:r>
        <w:rPr>
          <w:rFonts w:eastAsia="Calibri"/>
          <w:bCs/>
          <w:lang w:eastAsia="en-US"/>
        </w:rPr>
      </w:r>
    </w:p>
    <w:p>
      <w:pPr>
        <w:ind w:firstLine="567"/>
        <w:jc w:val="both"/>
        <w:spacing w:after="240"/>
        <w:tabs>
          <w:tab w:val="left" w:pos="567" w:leader="none"/>
        </w:tabs>
        <w:rPr>
          <w:rFonts w:eastAsia="Cambria"/>
          <w:b/>
        </w:rPr>
      </w:pPr>
      <w:r>
        <w:rPr>
          <w:rFonts w:eastAsia="Calibri"/>
          <w:bCs/>
          <w:lang w:eastAsia="en-US"/>
        </w:rPr>
        <w:t xml:space="preserve">Оплата производится в форме безналичног</w:t>
      </w:r>
      <w:r>
        <w:rPr>
          <w:rFonts w:eastAsia="Calibri"/>
          <w:bCs/>
          <w:lang w:eastAsia="en-US"/>
        </w:rPr>
        <w:t xml:space="preserve">о расчета путем перечисления денежных средств на расчетных счет Исполнителя, в течение 7 рабочих дней с даты подписания акта приемки оказанных услуг на основании выставленных оригиналов счета, счета-фактуры и документов, подтверждающих факт оказания услуги</w:t>
      </w:r>
      <w:r>
        <w:t xml:space="preserve">.</w:t>
      </w:r>
      <w:r>
        <w:rPr>
          <w:rFonts w:eastAsia="Cambria"/>
          <w:b/>
        </w:rPr>
      </w:r>
    </w:p>
    <w:p>
      <w:pPr>
        <w:jc w:val="both"/>
        <w:tabs>
          <w:tab w:val="left" w:pos="567" w:leader="none"/>
        </w:tabs>
        <w:rPr>
          <w:rFonts w:eastAsia="Cambria"/>
          <w:b/>
        </w:rPr>
      </w:pPr>
      <w:r>
        <w:rPr>
          <w:rFonts w:eastAsia="Cambria"/>
          <w:b/>
        </w:rPr>
        <w:t xml:space="preserve">5. Требование к участникам закупки </w:t>
      </w:r>
      <w:r>
        <w:rPr>
          <w:rFonts w:eastAsia="Cambria"/>
          <w:b/>
        </w:rPr>
      </w:r>
    </w:p>
    <w:p>
      <w:pPr>
        <w:jc w:val="both"/>
        <w:spacing w:after="160"/>
        <w:rPr>
          <w:rFonts w:eastAsia="Calibri"/>
          <w:color w:val="000000" w:themeColor="text1"/>
        </w:rPr>
      </w:pPr>
      <w:r>
        <w:rPr>
          <w:rFonts w:eastAsia="Calibri"/>
          <w:b/>
          <w:lang w:eastAsia="en-US"/>
        </w:rPr>
        <w:t xml:space="preserve">5.1. </w:t>
      </w:r>
      <w:r>
        <w:rPr>
          <w:rFonts w:eastAsia="Calibri"/>
          <w:b/>
          <w:color w:val="000000" w:themeColor="text1"/>
          <w:lang w:eastAsia="en-US"/>
        </w:rPr>
        <w:t xml:space="preserve">Требования о наличии кадровых ресурсов и их квалификации</w:t>
      </w:r>
      <w:r>
        <w:rPr>
          <w:rFonts w:eastAsia="Calibri"/>
          <w:color w:val="000000" w:themeColor="text1"/>
          <w:lang w:eastAsia="en-US"/>
        </w:rPr>
        <w:t xml:space="preserve"> </w:t>
      </w:r>
      <w:r>
        <w:rPr>
          <w:rFonts w:eastAsia="Calibri"/>
          <w:color w:val="000000" w:themeColor="text1"/>
        </w:rPr>
      </w:r>
    </w:p>
    <w:p>
      <w:pPr>
        <w:ind w:firstLine="540"/>
        <w:jc w:val="both"/>
        <w:widowControl w:val="off"/>
      </w:pPr>
      <w:r>
        <w:rPr>
          <w:color w:val="000000" w:themeColor="text1"/>
        </w:rPr>
        <w:t xml:space="preserve">Участник закупки предоставляет в составе своего предложения справку о кадровых ресурсах по форме закупочной документации, подтверждающую наличие у него</w:t>
      </w:r>
      <w:r>
        <w:rPr>
          <w:rFonts w:eastAsia="Calibri"/>
          <w:color w:val="000000" w:themeColor="text1"/>
          <w:lang w:eastAsia="en-US"/>
        </w:rPr>
        <w:t xml:space="preserve"> в штате </w:t>
      </w:r>
      <w:r>
        <w:rPr>
          <w:color w:val="000000" w:themeColor="text1"/>
        </w:rPr>
        <w:t xml:space="preserve">не менее 3-х медицинских работников, </w:t>
      </w:r>
      <w:r>
        <w:t xml:space="preserve">имеющих высшее и (или) среднее профессиональное образование, а также имеющих действующее удостоверение о повышении квалификации по предрейсовым и послерейсовым медицинским осмотрам.</w:t>
      </w:r>
      <w:r/>
    </w:p>
    <w:p>
      <w:pPr>
        <w:ind w:firstLine="540"/>
        <w:jc w:val="both"/>
        <w:widowControl w:val="off"/>
        <w:rPr>
          <w:color w:val="000000" w:themeColor="text1"/>
        </w:rPr>
      </w:pPr>
      <w:r>
        <w:rPr>
          <w:rFonts w:eastAsiaTheme="minorHAnsi"/>
          <w:i/>
          <w:lang w:eastAsia="en-US"/>
        </w:rPr>
        <w:t xml:space="preserve">Участник </w:t>
      </w:r>
      <w:r>
        <w:rPr>
          <w:rFonts w:eastAsiaTheme="minorHAnsi"/>
          <w:i/>
          <w:lang w:eastAsia="en-US"/>
        </w:rPr>
        <w:t xml:space="preserve">предоставляет в </w:t>
      </w:r>
      <w:r>
        <w:rPr>
          <w:rFonts w:eastAsiaTheme="minorHAnsi"/>
          <w:i/>
          <w:color w:val="000000" w:themeColor="text1"/>
          <w:lang w:eastAsia="en-US"/>
        </w:rPr>
        <w:t xml:space="preserve">составе </w:t>
      </w:r>
      <w:r>
        <w:rPr>
          <w:rFonts w:eastAsiaTheme="minorHAnsi"/>
          <w:i/>
          <w:lang w:eastAsia="en-US"/>
        </w:rPr>
        <w:t xml:space="preserve">своей заявки копии дипломов об образовании и копии действующих удостоверений о повышении квалификации</w:t>
      </w:r>
      <w:r>
        <w:rPr>
          <w:rFonts w:eastAsiaTheme="minorHAnsi"/>
          <w:i/>
          <w:lang w:eastAsia="en-US"/>
        </w:rPr>
        <w:t xml:space="preserve"> </w:t>
      </w:r>
      <w:r>
        <w:rPr>
          <w:rFonts w:eastAsiaTheme="minorHAnsi"/>
          <w:i/>
          <w:color w:val="000000" w:themeColor="text1"/>
          <w:lang w:eastAsia="en-US"/>
        </w:rPr>
        <w:t xml:space="preserve">лиц, указанных в справке о кадровых ресурсах в качестве медицинских работников</w:t>
      </w:r>
      <w:r>
        <w:rPr>
          <w:rFonts w:eastAsiaTheme="minorHAnsi"/>
          <w:i/>
          <w:color w:val="000000" w:themeColor="text1"/>
          <w:lang w:eastAsia="en-US"/>
        </w:rPr>
        <w:t xml:space="preserve">.</w:t>
      </w:r>
      <w:r>
        <w:rPr>
          <w:color w:val="000000" w:themeColor="text1"/>
        </w:rPr>
      </w:r>
    </w:p>
    <w:p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</w:r>
      <w:r>
        <w:rPr>
          <w:rFonts w:eastAsia="Calibri"/>
          <w:b/>
          <w:lang w:eastAsia="en-US"/>
        </w:rPr>
      </w:r>
    </w:p>
    <w:p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5.2. Требования о наличии материально-технических ресурсов </w:t>
      </w:r>
      <w:r>
        <w:rPr>
          <w:rFonts w:eastAsia="Calibri"/>
          <w:b/>
          <w:lang w:eastAsia="en-US"/>
        </w:rPr>
      </w:r>
    </w:p>
    <w:p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Участник предоставляет в составе своего предложения справку о материально-технических ресурсах по форме закупочной документации, подтверждающую наличие у него </w:t>
      </w:r>
      <w:r>
        <w:rPr>
          <w:rFonts w:eastAsia="Calibri"/>
          <w:color w:val="000000" w:themeColor="text1"/>
          <w:lang w:eastAsia="en-US"/>
        </w:rPr>
        <w:t xml:space="preserve">собственных или арендованных</w:t>
      </w:r>
      <w:r>
        <w:rPr>
          <w:rFonts w:eastAsia="Calibri"/>
          <w:color w:val="000000" w:themeColor="text1"/>
          <w:lang w:eastAsia="en-US"/>
        </w:rPr>
        <w:t xml:space="preserve"> </w:t>
      </w:r>
      <w:r>
        <w:rPr>
          <w:color w:val="000000" w:themeColor="text1"/>
        </w:rPr>
        <w:t xml:space="preserve">следующих медицинских приборов и оборудования, необходимых для проведения предрейсовых </w:t>
      </w:r>
      <w:r>
        <w:rPr>
          <w:color w:val="000000" w:themeColor="text1"/>
        </w:rPr>
        <w:t xml:space="preserve">медицинских </w:t>
      </w:r>
      <w:r>
        <w:rPr>
          <w:color w:val="000000" w:themeColor="text1"/>
        </w:rPr>
        <w:t xml:space="preserve">осмотров и медицинских освидетельствований:</w:t>
      </w:r>
      <w:r>
        <w:rPr>
          <w:color w:val="000000" w:themeColor="text1"/>
        </w:rPr>
      </w:r>
    </w:p>
    <w:p>
      <w:pPr>
        <w:pStyle w:val="8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передвижной мобильный пункт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1 пункт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pStyle w:val="8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прибор для определения артериального дав</w:t>
      </w:r>
      <w:r>
        <w:rPr>
          <w:rFonts w:ascii="Times New Roman" w:hAnsi="Times New Roman" w:cs="Times New Roman"/>
          <w:sz w:val="24"/>
          <w:szCs w:val="24"/>
        </w:rPr>
        <w:t xml:space="preserve">ления - 2 шт.,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термометр - 3 шт.,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стетофонендоскоп</w:t>
      </w:r>
      <w:r>
        <w:rPr>
          <w:rFonts w:ascii="Times New Roman" w:hAnsi="Times New Roman" w:cs="Times New Roman"/>
          <w:sz w:val="24"/>
          <w:szCs w:val="24"/>
        </w:rPr>
        <w:t xml:space="preserve"> - 2 шт.;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прибор для определения паров спирта в выдыхаемом воздухе - 2 шт.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0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</w:r>
      <w:r>
        <w:rPr>
          <w:rFonts w:ascii="Times New Roman" w:hAnsi="Times New Roman" w:cs="Times New Roman"/>
          <w:i/>
          <w:color w:val="ff0000"/>
          <w:sz w:val="24"/>
          <w:szCs w:val="24"/>
        </w:rPr>
      </w:r>
    </w:p>
    <w:p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5.3. Требования к измерительным приборам и инструментам</w:t>
      </w:r>
      <w:r>
        <w:rPr>
          <w:rFonts w:eastAsia="Calibri"/>
          <w:b/>
          <w:lang w:eastAsia="en-US"/>
        </w:rPr>
      </w:r>
    </w:p>
    <w:p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Не требуется</w:t>
      </w:r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ind w:firstLine="708"/>
        <w:jc w:val="both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</w:p>
    <w:p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5.4. Требования о наличии действующих разрешений, аттестаций, свидетельств СРО, лицензий</w:t>
      </w:r>
      <w:r>
        <w:rPr>
          <w:rFonts w:eastAsia="Calibri"/>
          <w:b/>
          <w:lang w:eastAsia="en-US"/>
        </w:rPr>
      </w:r>
    </w:p>
    <w:p>
      <w:pPr>
        <w:ind w:firstLine="708"/>
        <w:jc w:val="both"/>
      </w:pPr>
      <w:r>
        <w:t xml:space="preserve">Является обязательным требованием предоставление Участником закупки в составе своей заявки копии действующей лицензии, дающей право на проведение предрейсовых и послерейсовых медосмотров на территории г. Санкт-Петербург. </w:t>
      </w:r>
      <w:r>
        <w:rPr>
          <w:rFonts w:eastAsiaTheme="minorEastAsia"/>
          <w:i/>
        </w:rPr>
        <w:t xml:space="preserve">(требование является отборочным критерием).</w:t>
      </w:r>
      <w:r/>
    </w:p>
    <w:p>
      <w:pPr>
        <w:ind w:firstLine="708"/>
        <w:jc w:val="both"/>
      </w:pPr>
      <w:r/>
      <w:r/>
    </w:p>
    <w:p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5.5. Требования о наличии сертифицированных систем менеджмента</w:t>
      </w:r>
      <w:r>
        <w:rPr>
          <w:rFonts w:eastAsia="Calibri"/>
          <w:b/>
          <w:lang w:eastAsia="en-US"/>
        </w:rPr>
      </w:r>
    </w:p>
    <w:p>
      <w:pPr>
        <w:ind w:firstLine="708"/>
        <w:jc w:val="both"/>
      </w:pPr>
      <w:r>
        <w:t xml:space="preserve">Не </w:t>
      </w:r>
      <w:r>
        <w:rPr>
          <w:color w:val="000000" w:themeColor="text1"/>
        </w:rPr>
        <w:t xml:space="preserve">требуется</w:t>
      </w:r>
      <w:r>
        <w:t xml:space="preserve">.</w:t>
      </w:r>
      <w:r/>
    </w:p>
    <w:p>
      <w:pPr>
        <w:ind w:firstLine="708"/>
        <w:jc w:val="both"/>
      </w:pPr>
      <w:r/>
      <w:r/>
    </w:p>
    <w:p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5.6. Требования о наличии аккредитации в Группе «Интер РАО»</w:t>
      </w:r>
      <w:r>
        <w:rPr>
          <w:rFonts w:eastAsia="Calibri"/>
          <w:b/>
          <w:lang w:eastAsia="en-US"/>
        </w:rPr>
      </w:r>
    </w:p>
    <w:p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Не требуется.</w:t>
      </w:r>
      <w:r>
        <w:rPr>
          <w:color w:val="000000" w:themeColor="text1"/>
        </w:rPr>
      </w:r>
    </w:p>
    <w:p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rFonts w:eastAsia="Calibri"/>
          <w:b/>
          <w:color w:val="000000" w:themeColor="text1"/>
          <w:lang w:eastAsia="en-US"/>
        </w:rPr>
        <w:t xml:space="preserve">5.7. Требования к опыту оказания аналогичных услуг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</w:r>
    </w:p>
    <w:p>
      <w:pPr>
        <w:ind w:firstLine="708"/>
        <w:jc w:val="both"/>
        <w:rPr>
          <w:rFonts w:eastAsia="Calibri"/>
          <w:color w:val="000000" w:themeColor="text1"/>
        </w:rPr>
      </w:pPr>
      <w:r>
        <w:rPr>
          <w:color w:val="000000" w:themeColor="text1"/>
        </w:rPr>
        <w:t xml:space="preserve">Участник закупки предоставляет в составе своего предложения справку о перечне и объемах выполнения аналогичных договоров по форме закупочной документации, подтверждающую наличие у него опыта оказания </w:t>
      </w:r>
      <w:r>
        <w:rPr>
          <w:color w:val="000000" w:themeColor="text1"/>
          <w:lang w:eastAsia="en-US" w:bidi="en-US"/>
        </w:rPr>
        <w:t xml:space="preserve">услуг по проведению предрейсовых и послерейсовых медицинских осмотров за 3 предшествующих </w:t>
      </w:r>
      <w:r>
        <w:rPr>
          <w:color w:val="000000" w:themeColor="text1"/>
          <w:lang w:eastAsia="en-US" w:bidi="en-US"/>
        </w:rPr>
        <w:t xml:space="preserve">дате объявления закупки года </w:t>
      </w:r>
      <w:r>
        <w:rPr>
          <w:color w:val="000000" w:themeColor="text1"/>
          <w:lang w:eastAsia="en-US" w:bidi="en-US"/>
        </w:rPr>
        <w:t xml:space="preserve"> </w:t>
      </w:r>
      <w:r>
        <w:rPr>
          <w:color w:val="000000" w:themeColor="text1"/>
        </w:rPr>
        <w:t xml:space="preserve">в количестве не </w:t>
      </w:r>
      <w:r>
        <w:rPr>
          <w:rFonts w:eastAsia="Calibri"/>
          <w:color w:val="000000" w:themeColor="text1"/>
          <w:lang w:eastAsia="en-US"/>
        </w:rPr>
        <w:t xml:space="preserve">менее </w:t>
      </w:r>
      <w:r>
        <w:rPr>
          <w:rFonts w:eastAsia="Calibri"/>
          <w:color w:val="000000" w:themeColor="text1"/>
          <w:lang w:eastAsia="en-US"/>
        </w:rPr>
        <w:t xml:space="preserve"> 3 </w:t>
      </w:r>
      <w:r>
        <w:rPr>
          <w:rFonts w:eastAsia="Calibri"/>
          <w:color w:val="000000" w:themeColor="text1"/>
          <w:lang w:eastAsia="en-US"/>
        </w:rPr>
        <w:t xml:space="preserve">аналогичных договоров за</w:t>
      </w:r>
      <w:r>
        <w:rPr>
          <w:rFonts w:eastAsia="Calibri"/>
          <w:color w:val="000000" w:themeColor="text1"/>
          <w:lang w:eastAsia="en-US"/>
        </w:rPr>
        <w:t xml:space="preserve"> указанный трехлетний период</w:t>
      </w:r>
      <w:r>
        <w:rPr>
          <w:rFonts w:eastAsia="Calibri"/>
          <w:color w:val="000000" w:themeColor="text1"/>
          <w:lang w:eastAsia="en-US"/>
        </w:rPr>
        <w:t xml:space="preserve">. </w:t>
      </w:r>
      <w:r>
        <w:rPr>
          <w:rFonts w:eastAsia="Calibri"/>
          <w:color w:val="000000" w:themeColor="text1"/>
        </w:rPr>
      </w:r>
    </w:p>
    <w:p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Аналогичными признаются договоры на проведение предрейсовых и послерейсовых медицинских осмотров</w:t>
      </w:r>
      <w:r>
        <w:rPr>
          <w:color w:val="000000" w:themeColor="text1"/>
        </w:rPr>
        <w:t xml:space="preserve">.</w:t>
      </w:r>
      <w:r>
        <w:rPr>
          <w:color w:val="000000" w:themeColor="text1"/>
        </w:rPr>
      </w:r>
    </w:p>
    <w:p>
      <w:pPr>
        <w:ind w:firstLine="708"/>
        <w:jc w:val="both"/>
        <w:rPr>
          <w:strike/>
          <w:color w:val="000000" w:themeColor="text1"/>
        </w:rPr>
      </w:pPr>
      <w:r>
        <w:rPr>
          <w:strike/>
          <w:color w:val="000000" w:themeColor="text1"/>
        </w:rPr>
      </w:r>
      <w:r>
        <w:rPr>
          <w:strike/>
          <w:color w:val="000000" w:themeColor="text1"/>
        </w:rPr>
      </w:r>
    </w:p>
    <w:p>
      <w:pPr>
        <w:jc w:val="both"/>
        <w:rPr>
          <w:rFonts w:eastAsia="Calibri"/>
          <w:b/>
          <w:color w:val="000000" w:themeColor="text1"/>
        </w:rPr>
      </w:pPr>
      <w:r>
        <w:rPr>
          <w:rFonts w:eastAsia="Calibri"/>
          <w:b/>
          <w:color w:val="000000" w:themeColor="text1"/>
          <w:lang w:eastAsia="en-US"/>
        </w:rPr>
        <w:t xml:space="preserve">5.</w:t>
      </w:r>
      <w:r>
        <w:rPr>
          <w:rFonts w:eastAsia="Calibri"/>
          <w:b/>
          <w:color w:val="000000" w:themeColor="text1"/>
          <w:lang w:eastAsia="en-US"/>
        </w:rPr>
        <w:t xml:space="preserve">8</w:t>
      </w:r>
      <w:r>
        <w:rPr>
          <w:rFonts w:eastAsia="Calibri"/>
          <w:b/>
          <w:color w:val="000000" w:themeColor="text1"/>
          <w:lang w:eastAsia="en-US"/>
        </w:rPr>
        <w:t xml:space="preserve">. Требования к субподрядным организациям </w:t>
      </w:r>
      <w:r>
        <w:rPr>
          <w:rFonts w:eastAsia="Calibri"/>
          <w:b/>
          <w:color w:val="000000" w:themeColor="text1"/>
        </w:rPr>
      </w:r>
    </w:p>
    <w:p>
      <w:pPr>
        <w:ind w:firstLine="0"/>
        <w:jc w:val="both"/>
        <w:rPr>
          <w:strike/>
          <w:color w:val="000000" w:themeColor="text1"/>
        </w:rPr>
      </w:pPr>
      <w:r>
        <w:rPr>
          <w:strike/>
          <w:color w:val="000000" w:themeColor="text1"/>
        </w:rPr>
      </w:r>
      <w:r>
        <w:rPr>
          <w:color w:val="000000" w:themeColor="text1"/>
        </w:rPr>
      </w:r>
      <w:r>
        <w:rPr>
          <w:strike/>
          <w:color w:val="000000" w:themeColor="text1"/>
        </w:rPr>
      </w:r>
    </w:p>
    <w:p>
      <w:pPr>
        <w:pStyle w:val="893"/>
        <w:ind w:left="0" w:right="0" w:firstLine="709"/>
        <w:jc w:val="both"/>
        <w:spacing w:after="0"/>
        <w:rPr>
          <w:b/>
          <w:color w:val="000000" w:themeColor="text1"/>
        </w:rPr>
      </w:pPr>
      <w:r>
        <w:rPr>
          <w:color w:val="000000" w:themeColor="text1"/>
        </w:rPr>
        <w:t xml:space="preserve">Требования, указанные в пунктах 5.1. ÷ 5.</w:t>
      </w:r>
      <w:r>
        <w:rPr>
          <w:color w:val="000000" w:themeColor="text1"/>
        </w:rPr>
        <w:t xml:space="preserve">7</w:t>
      </w:r>
      <w:r>
        <w:rPr>
          <w:color w:val="000000" w:themeColor="text1"/>
        </w:rPr>
        <w:t xml:space="preserve"> ТЗ применимы к привлекаемым </w:t>
      </w:r>
      <w:r>
        <w:rPr>
          <w:color w:val="000000" w:themeColor="text1"/>
        </w:rPr>
        <w:t xml:space="preserve">участниками соисполнителям, в объеме поручаемых им услуг согласно «Плану распределения работ между генеральным подрядчиком и субподрядными организациями» и документы, подтверждающие соответствие требованиям, должны представляться в составе заявки участника</w:t>
      </w:r>
      <w:r>
        <w:rPr>
          <w:b/>
          <w:color w:val="000000" w:themeColor="text1"/>
        </w:rPr>
        <w:t xml:space="preserve">.</w:t>
      </w:r>
      <w:r>
        <w:rPr>
          <w:b/>
          <w:color w:val="000000" w:themeColor="text1"/>
        </w:rPr>
      </w:r>
    </w:p>
    <w:p>
      <w:pPr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sectPr>
      <w:footnotePr/>
      <w:endnotePr/>
      <w:type w:val="nextPage"/>
      <w:pgSz w:w="11906" w:h="16838" w:orient="portrait"/>
      <w:pgMar w:top="567" w:right="566" w:bottom="709" w:left="1276" w:header="708" w:footer="416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r/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 w:edit="trackedChanges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">
    <w:name w:val="Heading 2 Char"/>
    <w:basedOn w:val="689"/>
    <w:link w:val="681"/>
    <w:uiPriority w:val="9"/>
    <w:rPr>
      <w:rFonts w:ascii="Arial" w:hAnsi="Arial" w:eastAsia="Arial" w:cs="Arial"/>
      <w:sz w:val="34"/>
    </w:rPr>
  </w:style>
  <w:style w:type="character" w:styleId="20">
    <w:name w:val="Heading 4 Char"/>
    <w:basedOn w:val="689"/>
    <w:link w:val="683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89"/>
    <w:link w:val="684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89"/>
    <w:link w:val="685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89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89"/>
    <w:link w:val="687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89"/>
    <w:link w:val="688"/>
    <w:uiPriority w:val="9"/>
    <w:rPr>
      <w:rFonts w:ascii="Arial" w:hAnsi="Arial" w:eastAsia="Arial" w:cs="Arial"/>
      <w:i/>
      <w:iCs/>
      <w:sz w:val="21"/>
      <w:szCs w:val="21"/>
    </w:rPr>
  </w:style>
  <w:style w:type="character" w:styleId="37">
    <w:name w:val="Subtitle Char"/>
    <w:basedOn w:val="689"/>
    <w:link w:val="702"/>
    <w:uiPriority w:val="11"/>
    <w:rPr>
      <w:sz w:val="24"/>
      <w:szCs w:val="24"/>
    </w:rPr>
  </w:style>
  <w:style w:type="character" w:styleId="39">
    <w:name w:val="Quote Char"/>
    <w:link w:val="704"/>
    <w:uiPriority w:val="29"/>
    <w:rPr>
      <w:i/>
    </w:rPr>
  </w:style>
  <w:style w:type="character" w:styleId="41">
    <w:name w:val="Intense Quote Char"/>
    <w:link w:val="706"/>
    <w:uiPriority w:val="30"/>
    <w:rPr>
      <w:i/>
    </w:rPr>
  </w:style>
  <w:style w:type="paragraph" w:styleId="679" w:default="1">
    <w:name w:val="Normal"/>
    <w:qFormat/>
    <w:rPr>
      <w:rFonts w:ascii="Times New Roman" w:hAnsi="Times New Roman" w:eastAsia="Times New Roman"/>
      <w:sz w:val="24"/>
      <w:szCs w:val="24"/>
    </w:rPr>
  </w:style>
  <w:style w:type="paragraph" w:styleId="680">
    <w:name w:val="Heading 1"/>
    <w:basedOn w:val="679"/>
    <w:next w:val="679"/>
    <w:link w:val="859"/>
    <w:uiPriority w:val="9"/>
    <w:qFormat/>
    <w:pPr>
      <w:keepLines/>
      <w:keepNext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681">
    <w:name w:val="Heading 2"/>
    <w:basedOn w:val="679"/>
    <w:next w:val="679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2">
    <w:name w:val="Heading 3"/>
    <w:basedOn w:val="679"/>
    <w:next w:val="679"/>
    <w:link w:val="898"/>
    <w:uiPriority w:val="9"/>
    <w:semiHidden/>
    <w:unhideWhenUsed/>
    <w:qFormat/>
    <w:pPr>
      <w:keepLines/>
      <w:keepNext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683">
    <w:name w:val="Heading 4"/>
    <w:basedOn w:val="679"/>
    <w:next w:val="679"/>
    <w:link w:val="69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679"/>
    <w:next w:val="679"/>
    <w:link w:val="69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85">
    <w:name w:val="Heading 6"/>
    <w:basedOn w:val="679"/>
    <w:next w:val="679"/>
    <w:link w:val="6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679"/>
    <w:next w:val="679"/>
    <w:link w:val="6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7">
    <w:name w:val="Heading 8"/>
    <w:basedOn w:val="679"/>
    <w:next w:val="679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679"/>
    <w:next w:val="679"/>
    <w:link w:val="70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Heading 1 Char"/>
    <w:basedOn w:val="689"/>
    <w:uiPriority w:val="9"/>
    <w:rPr>
      <w:rFonts w:ascii="Arial" w:hAnsi="Arial" w:eastAsia="Arial" w:cs="Arial"/>
      <w:sz w:val="40"/>
      <w:szCs w:val="40"/>
    </w:rPr>
  </w:style>
  <w:style w:type="character" w:styleId="693" w:customStyle="1">
    <w:name w:val="Заголовок 2 Знак"/>
    <w:basedOn w:val="689"/>
    <w:link w:val="681"/>
    <w:uiPriority w:val="9"/>
    <w:rPr>
      <w:rFonts w:ascii="Arial" w:hAnsi="Arial" w:eastAsia="Arial" w:cs="Arial"/>
      <w:sz w:val="34"/>
    </w:rPr>
  </w:style>
  <w:style w:type="character" w:styleId="694" w:customStyle="1">
    <w:name w:val="Heading 3 Char"/>
    <w:basedOn w:val="689"/>
    <w:uiPriority w:val="9"/>
    <w:rPr>
      <w:rFonts w:ascii="Arial" w:hAnsi="Arial" w:eastAsia="Arial" w:cs="Arial"/>
      <w:sz w:val="30"/>
      <w:szCs w:val="30"/>
    </w:rPr>
  </w:style>
  <w:style w:type="character" w:styleId="695" w:customStyle="1">
    <w:name w:val="Заголовок 4 Знак"/>
    <w:basedOn w:val="689"/>
    <w:link w:val="683"/>
    <w:uiPriority w:val="9"/>
    <w:rPr>
      <w:rFonts w:ascii="Arial" w:hAnsi="Arial" w:eastAsia="Arial" w:cs="Arial"/>
      <w:b/>
      <w:bCs/>
      <w:sz w:val="26"/>
      <w:szCs w:val="26"/>
    </w:rPr>
  </w:style>
  <w:style w:type="character" w:styleId="696" w:customStyle="1">
    <w:name w:val="Заголовок 5 Знак"/>
    <w:basedOn w:val="689"/>
    <w:link w:val="684"/>
    <w:uiPriority w:val="9"/>
    <w:rPr>
      <w:rFonts w:ascii="Arial" w:hAnsi="Arial" w:eastAsia="Arial" w:cs="Arial"/>
      <w:b/>
      <w:bCs/>
      <w:sz w:val="24"/>
      <w:szCs w:val="24"/>
    </w:rPr>
  </w:style>
  <w:style w:type="character" w:styleId="697" w:customStyle="1">
    <w:name w:val="Заголовок 6 Знак"/>
    <w:basedOn w:val="689"/>
    <w:link w:val="685"/>
    <w:uiPriority w:val="9"/>
    <w:rPr>
      <w:rFonts w:ascii="Arial" w:hAnsi="Arial" w:eastAsia="Arial" w:cs="Arial"/>
      <w:b/>
      <w:bCs/>
      <w:sz w:val="22"/>
      <w:szCs w:val="22"/>
    </w:rPr>
  </w:style>
  <w:style w:type="character" w:styleId="698" w:customStyle="1">
    <w:name w:val="Заголовок 7 Знак"/>
    <w:basedOn w:val="689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9" w:customStyle="1">
    <w:name w:val="Заголовок 8 Знак"/>
    <w:basedOn w:val="689"/>
    <w:link w:val="687"/>
    <w:uiPriority w:val="9"/>
    <w:rPr>
      <w:rFonts w:ascii="Arial" w:hAnsi="Arial" w:eastAsia="Arial" w:cs="Arial"/>
      <w:i/>
      <w:iCs/>
      <w:sz w:val="22"/>
      <w:szCs w:val="22"/>
    </w:rPr>
  </w:style>
  <w:style w:type="character" w:styleId="700" w:customStyle="1">
    <w:name w:val="Заголовок 9 Знак"/>
    <w:basedOn w:val="689"/>
    <w:link w:val="688"/>
    <w:uiPriority w:val="9"/>
    <w:rPr>
      <w:rFonts w:ascii="Arial" w:hAnsi="Arial" w:eastAsia="Arial" w:cs="Arial"/>
      <w:i/>
      <w:iCs/>
      <w:sz w:val="21"/>
      <w:szCs w:val="21"/>
    </w:rPr>
  </w:style>
  <w:style w:type="character" w:styleId="701" w:customStyle="1">
    <w:name w:val="Title Char"/>
    <w:basedOn w:val="689"/>
    <w:uiPriority w:val="10"/>
    <w:rPr>
      <w:sz w:val="48"/>
      <w:szCs w:val="48"/>
    </w:rPr>
  </w:style>
  <w:style w:type="paragraph" w:styleId="702">
    <w:name w:val="Subtitle"/>
    <w:basedOn w:val="679"/>
    <w:next w:val="679"/>
    <w:link w:val="703"/>
    <w:uiPriority w:val="11"/>
    <w:qFormat/>
    <w:pPr>
      <w:spacing w:before="200" w:after="200"/>
    </w:pPr>
  </w:style>
  <w:style w:type="character" w:styleId="703" w:customStyle="1">
    <w:name w:val="Подзаголовок Знак"/>
    <w:basedOn w:val="689"/>
    <w:link w:val="702"/>
    <w:uiPriority w:val="11"/>
    <w:rPr>
      <w:sz w:val="24"/>
      <w:szCs w:val="24"/>
    </w:rPr>
  </w:style>
  <w:style w:type="paragraph" w:styleId="704">
    <w:name w:val="Quote"/>
    <w:basedOn w:val="679"/>
    <w:next w:val="679"/>
    <w:link w:val="705"/>
    <w:uiPriority w:val="29"/>
    <w:qFormat/>
    <w:pPr>
      <w:ind w:left="720" w:right="720"/>
    </w:pPr>
    <w:rPr>
      <w:i/>
    </w:rPr>
  </w:style>
  <w:style w:type="character" w:styleId="705" w:customStyle="1">
    <w:name w:val="Цитата 2 Знак"/>
    <w:link w:val="704"/>
    <w:uiPriority w:val="29"/>
    <w:rPr>
      <w:i/>
    </w:rPr>
  </w:style>
  <w:style w:type="paragraph" w:styleId="706">
    <w:name w:val="Intense Quote"/>
    <w:basedOn w:val="679"/>
    <w:next w:val="679"/>
    <w:link w:val="70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 w:customStyle="1">
    <w:name w:val="Выделенная цитата Знак"/>
    <w:link w:val="706"/>
    <w:uiPriority w:val="30"/>
    <w:rPr>
      <w:i/>
    </w:rPr>
  </w:style>
  <w:style w:type="character" w:styleId="708" w:customStyle="1">
    <w:name w:val="Header Char"/>
    <w:basedOn w:val="689"/>
    <w:uiPriority w:val="99"/>
  </w:style>
  <w:style w:type="character" w:styleId="709" w:customStyle="1">
    <w:name w:val="Footer Char"/>
    <w:basedOn w:val="689"/>
    <w:uiPriority w:val="99"/>
  </w:style>
  <w:style w:type="paragraph" w:styleId="710">
    <w:name w:val="Caption"/>
    <w:basedOn w:val="679"/>
    <w:next w:val="67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 w:customStyle="1">
    <w:name w:val="Caption Char"/>
    <w:uiPriority w:val="99"/>
  </w:style>
  <w:style w:type="table" w:styleId="712" w:customStyle="1">
    <w:name w:val="Table Grid Light"/>
    <w:basedOn w:val="690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3">
    <w:name w:val="Plain Table 1"/>
    <w:basedOn w:val="690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2"/>
    <w:basedOn w:val="690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3"/>
    <w:basedOn w:val="69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>
    <w:name w:val="Plain Table 4"/>
    <w:basedOn w:val="69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Plain Table 5"/>
    <w:basedOn w:val="69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>
    <w:name w:val="Grid Table 1 Light"/>
    <w:basedOn w:val="690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1"/>
    <w:basedOn w:val="690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2"/>
    <w:basedOn w:val="690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3"/>
    <w:basedOn w:val="690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4"/>
    <w:basedOn w:val="690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5"/>
    <w:basedOn w:val="690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6"/>
    <w:basedOn w:val="690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2"/>
    <w:basedOn w:val="69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1"/>
    <w:basedOn w:val="690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2"/>
    <w:basedOn w:val="690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3"/>
    <w:basedOn w:val="690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4"/>
    <w:basedOn w:val="690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5"/>
    <w:basedOn w:val="690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6"/>
    <w:basedOn w:val="690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"/>
    <w:basedOn w:val="69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1"/>
    <w:basedOn w:val="690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2"/>
    <w:basedOn w:val="690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3"/>
    <w:basedOn w:val="690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4"/>
    <w:basedOn w:val="690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5"/>
    <w:basedOn w:val="690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6"/>
    <w:basedOn w:val="690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4"/>
    <w:basedOn w:val="690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 w:customStyle="1">
    <w:name w:val="Grid Table 4 - Accent 1"/>
    <w:basedOn w:val="690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41" w:customStyle="1">
    <w:name w:val="Grid Table 4 - Accent 2"/>
    <w:basedOn w:val="690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42" w:customStyle="1">
    <w:name w:val="Grid Table 4 - Accent 3"/>
    <w:basedOn w:val="690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43" w:customStyle="1">
    <w:name w:val="Grid Table 4 - Accent 4"/>
    <w:basedOn w:val="690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4" w:customStyle="1">
    <w:name w:val="Grid Table 4 - Accent 5"/>
    <w:basedOn w:val="690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5" w:customStyle="1">
    <w:name w:val="Grid Table 4 - Accent 6"/>
    <w:basedOn w:val="690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6">
    <w:name w:val="Grid Table 5 Dark"/>
    <w:basedOn w:val="69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1"/>
    <w:basedOn w:val="69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2"/>
    <w:basedOn w:val="69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3"/>
    <w:basedOn w:val="69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- Accent 4"/>
    <w:basedOn w:val="69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 - Accent 5"/>
    <w:basedOn w:val="69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 - Accent 6"/>
    <w:basedOn w:val="69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53">
    <w:name w:val="Grid Table 6 Colorful"/>
    <w:basedOn w:val="690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4" w:customStyle="1">
    <w:name w:val="Grid Table 6 Colorful - Accent 1"/>
    <w:basedOn w:val="690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5" w:customStyle="1">
    <w:name w:val="Grid Table 6 Colorful - Accent 2"/>
    <w:basedOn w:val="690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6" w:customStyle="1">
    <w:name w:val="Grid Table 6 Colorful - Accent 3"/>
    <w:basedOn w:val="690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57" w:customStyle="1">
    <w:name w:val="Grid Table 6 Colorful - Accent 4"/>
    <w:basedOn w:val="690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58" w:customStyle="1">
    <w:name w:val="Grid Table 6 Colorful - Accent 5"/>
    <w:basedOn w:val="690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9" w:customStyle="1">
    <w:name w:val="Grid Table 6 Colorful - Accent 6"/>
    <w:basedOn w:val="690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0">
    <w:name w:val="Grid Table 7 Colorful"/>
    <w:basedOn w:val="690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1"/>
    <w:basedOn w:val="690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2"/>
    <w:basedOn w:val="690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3"/>
    <w:basedOn w:val="690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4"/>
    <w:basedOn w:val="690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7 Colorful - Accent 5"/>
    <w:basedOn w:val="690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7 Colorful - Accent 6"/>
    <w:basedOn w:val="690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"/>
    <w:basedOn w:val="690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1"/>
    <w:basedOn w:val="690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2"/>
    <w:basedOn w:val="690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3"/>
    <w:basedOn w:val="690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4"/>
    <w:basedOn w:val="690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5"/>
    <w:basedOn w:val="690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6"/>
    <w:basedOn w:val="690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2"/>
    <w:basedOn w:val="690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1"/>
    <w:basedOn w:val="690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2"/>
    <w:basedOn w:val="690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3"/>
    <w:basedOn w:val="690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4"/>
    <w:basedOn w:val="690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5"/>
    <w:basedOn w:val="690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6"/>
    <w:basedOn w:val="690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81">
    <w:name w:val="List Table 3"/>
    <w:basedOn w:val="69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1"/>
    <w:basedOn w:val="690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2"/>
    <w:basedOn w:val="690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3"/>
    <w:basedOn w:val="690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4"/>
    <w:basedOn w:val="690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5"/>
    <w:basedOn w:val="690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6"/>
    <w:basedOn w:val="690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"/>
    <w:basedOn w:val="69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1"/>
    <w:basedOn w:val="690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2"/>
    <w:basedOn w:val="690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3"/>
    <w:basedOn w:val="690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4"/>
    <w:basedOn w:val="690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5"/>
    <w:basedOn w:val="690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6"/>
    <w:basedOn w:val="690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5 Dark"/>
    <w:basedOn w:val="690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1"/>
    <w:basedOn w:val="690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2"/>
    <w:basedOn w:val="690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3"/>
    <w:basedOn w:val="690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4"/>
    <w:basedOn w:val="690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5"/>
    <w:basedOn w:val="690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6"/>
    <w:basedOn w:val="690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>
    <w:name w:val="List Table 6 Colorful"/>
    <w:basedOn w:val="690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3" w:customStyle="1">
    <w:name w:val="List Table 6 Colorful - Accent 1"/>
    <w:basedOn w:val="690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4" w:customStyle="1">
    <w:name w:val="List Table 6 Colorful - Accent 2"/>
    <w:basedOn w:val="690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5" w:customStyle="1">
    <w:name w:val="List Table 6 Colorful - Accent 3"/>
    <w:basedOn w:val="690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6" w:customStyle="1">
    <w:name w:val="List Table 6 Colorful - Accent 4"/>
    <w:basedOn w:val="690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07" w:customStyle="1">
    <w:name w:val="List Table 6 Colorful - Accent 5"/>
    <w:basedOn w:val="690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08" w:customStyle="1">
    <w:name w:val="List Table 6 Colorful - Accent 6"/>
    <w:basedOn w:val="690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9">
    <w:name w:val="List Table 7 Colorful"/>
    <w:basedOn w:val="690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1"/>
    <w:basedOn w:val="690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2"/>
    <w:basedOn w:val="690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3"/>
    <w:basedOn w:val="690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4"/>
    <w:basedOn w:val="690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7 Colorful - Accent 5"/>
    <w:basedOn w:val="690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7 Colorful - Accent 6"/>
    <w:basedOn w:val="690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ned - Accent"/>
    <w:basedOn w:val="69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7" w:customStyle="1">
    <w:name w:val="Lined - Accent 1"/>
    <w:basedOn w:val="69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8" w:customStyle="1">
    <w:name w:val="Lined - Accent 2"/>
    <w:basedOn w:val="69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9" w:customStyle="1">
    <w:name w:val="Lined - Accent 3"/>
    <w:basedOn w:val="69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0" w:customStyle="1">
    <w:name w:val="Lined - Accent 4"/>
    <w:basedOn w:val="69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1" w:customStyle="1">
    <w:name w:val="Lined - Accent 5"/>
    <w:basedOn w:val="69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2" w:customStyle="1">
    <w:name w:val="Lined - Accent 6"/>
    <w:basedOn w:val="69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3" w:customStyle="1">
    <w:name w:val="Bordered &amp; Lined - Accent"/>
    <w:basedOn w:val="690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4" w:customStyle="1">
    <w:name w:val="Bordered &amp; Lined - Accent 1"/>
    <w:basedOn w:val="690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5" w:customStyle="1">
    <w:name w:val="Bordered &amp; Lined - Accent 2"/>
    <w:basedOn w:val="690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6" w:customStyle="1">
    <w:name w:val="Bordered &amp; Lined - Accent 3"/>
    <w:basedOn w:val="690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7" w:customStyle="1">
    <w:name w:val="Bordered &amp; Lined - Accent 4"/>
    <w:basedOn w:val="690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8" w:customStyle="1">
    <w:name w:val="Bordered &amp; Lined - Accent 5"/>
    <w:basedOn w:val="690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9" w:customStyle="1">
    <w:name w:val="Bordered &amp; Lined - Accent 6"/>
    <w:basedOn w:val="690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0" w:customStyle="1">
    <w:name w:val="Bordered"/>
    <w:basedOn w:val="690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1" w:customStyle="1">
    <w:name w:val="Bordered - Accent 1"/>
    <w:basedOn w:val="690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32" w:customStyle="1">
    <w:name w:val="Bordered - Accent 2"/>
    <w:basedOn w:val="690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33" w:customStyle="1">
    <w:name w:val="Bordered - Accent 3"/>
    <w:basedOn w:val="690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4" w:customStyle="1">
    <w:name w:val="Bordered - Accent 4"/>
    <w:basedOn w:val="690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5" w:customStyle="1">
    <w:name w:val="Bordered - Accent 5"/>
    <w:basedOn w:val="690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6" w:customStyle="1">
    <w:name w:val="Bordered - Accent 6"/>
    <w:basedOn w:val="690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37" w:customStyle="1">
    <w:name w:val="Footnote Text Char"/>
    <w:uiPriority w:val="99"/>
    <w:rPr>
      <w:sz w:val="18"/>
    </w:rPr>
  </w:style>
  <w:style w:type="character" w:styleId="838" w:customStyle="1">
    <w:name w:val="Endnote Text Char"/>
    <w:uiPriority w:val="99"/>
    <w:rPr>
      <w:sz w:val="20"/>
    </w:rPr>
  </w:style>
  <w:style w:type="paragraph" w:styleId="839">
    <w:name w:val="toc 2"/>
    <w:basedOn w:val="679"/>
    <w:next w:val="679"/>
    <w:uiPriority w:val="39"/>
    <w:unhideWhenUsed/>
    <w:pPr>
      <w:ind w:left="283"/>
      <w:spacing w:after="57"/>
    </w:pPr>
  </w:style>
  <w:style w:type="paragraph" w:styleId="840">
    <w:name w:val="toc 3"/>
    <w:basedOn w:val="679"/>
    <w:next w:val="679"/>
    <w:uiPriority w:val="39"/>
    <w:unhideWhenUsed/>
    <w:pPr>
      <w:ind w:left="567"/>
      <w:spacing w:after="57"/>
    </w:pPr>
  </w:style>
  <w:style w:type="paragraph" w:styleId="841">
    <w:name w:val="toc 4"/>
    <w:basedOn w:val="679"/>
    <w:next w:val="679"/>
    <w:uiPriority w:val="39"/>
    <w:unhideWhenUsed/>
    <w:pPr>
      <w:ind w:left="850"/>
      <w:spacing w:after="57"/>
    </w:pPr>
  </w:style>
  <w:style w:type="paragraph" w:styleId="842">
    <w:name w:val="toc 5"/>
    <w:basedOn w:val="679"/>
    <w:next w:val="679"/>
    <w:uiPriority w:val="39"/>
    <w:unhideWhenUsed/>
    <w:pPr>
      <w:ind w:left="1134"/>
      <w:spacing w:after="57"/>
    </w:pPr>
  </w:style>
  <w:style w:type="paragraph" w:styleId="843">
    <w:name w:val="toc 6"/>
    <w:basedOn w:val="679"/>
    <w:next w:val="679"/>
    <w:uiPriority w:val="39"/>
    <w:unhideWhenUsed/>
    <w:pPr>
      <w:ind w:left="1417"/>
      <w:spacing w:after="57"/>
    </w:pPr>
  </w:style>
  <w:style w:type="paragraph" w:styleId="844">
    <w:name w:val="toc 7"/>
    <w:basedOn w:val="679"/>
    <w:next w:val="679"/>
    <w:uiPriority w:val="39"/>
    <w:unhideWhenUsed/>
    <w:pPr>
      <w:ind w:left="1701"/>
      <w:spacing w:after="57"/>
    </w:pPr>
  </w:style>
  <w:style w:type="paragraph" w:styleId="845">
    <w:name w:val="toc 8"/>
    <w:basedOn w:val="679"/>
    <w:next w:val="679"/>
    <w:uiPriority w:val="39"/>
    <w:unhideWhenUsed/>
    <w:pPr>
      <w:ind w:left="1984"/>
      <w:spacing w:after="57"/>
    </w:pPr>
  </w:style>
  <w:style w:type="paragraph" w:styleId="846">
    <w:name w:val="toc 9"/>
    <w:basedOn w:val="679"/>
    <w:next w:val="679"/>
    <w:uiPriority w:val="39"/>
    <w:unhideWhenUsed/>
    <w:pPr>
      <w:ind w:left="2268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679"/>
    <w:next w:val="679"/>
    <w:uiPriority w:val="99"/>
    <w:unhideWhenUsed/>
  </w:style>
  <w:style w:type="table" w:styleId="849">
    <w:name w:val="Table Grid"/>
    <w:basedOn w:val="690"/>
    <w:rPr>
      <w:rFonts w:ascii="Times New Roman" w:hAnsi="Times New Roman"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50">
    <w:name w:val="Title"/>
    <w:basedOn w:val="679"/>
    <w:link w:val="851"/>
    <w:qFormat/>
    <w:pPr>
      <w:jc w:val="center"/>
    </w:pPr>
    <w:rPr>
      <w:b/>
      <w:bCs/>
      <w:sz w:val="28"/>
    </w:rPr>
  </w:style>
  <w:style w:type="character" w:styleId="851" w:customStyle="1">
    <w:name w:val="Заголовок Знак"/>
    <w:link w:val="850"/>
    <w:rPr>
      <w:rFonts w:ascii="Times New Roman" w:hAnsi="Times New Roman" w:eastAsia="Times New Roman" w:cs="Times New Roman"/>
      <w:b/>
      <w:bCs/>
      <w:sz w:val="28"/>
      <w:szCs w:val="24"/>
      <w:lang w:eastAsia="ru-RU"/>
    </w:rPr>
  </w:style>
  <w:style w:type="character" w:styleId="852">
    <w:name w:val="page number"/>
    <w:basedOn w:val="689"/>
  </w:style>
  <w:style w:type="paragraph" w:styleId="853">
    <w:name w:val="Header"/>
    <w:basedOn w:val="679"/>
    <w:link w:val="854"/>
    <w:pPr>
      <w:tabs>
        <w:tab w:val="center" w:pos="4677" w:leader="none"/>
        <w:tab w:val="right" w:pos="9355" w:leader="none"/>
      </w:tabs>
    </w:pPr>
  </w:style>
  <w:style w:type="character" w:styleId="854" w:customStyle="1">
    <w:name w:val="Верхний колонтитул Знак"/>
    <w:link w:val="853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55">
    <w:name w:val="annotation text"/>
    <w:basedOn w:val="679"/>
    <w:link w:val="856"/>
    <w:uiPriority w:val="99"/>
    <w:unhideWhenUsed/>
    <w:rPr>
      <w:sz w:val="20"/>
      <w:szCs w:val="20"/>
    </w:rPr>
  </w:style>
  <w:style w:type="character" w:styleId="856" w:customStyle="1">
    <w:name w:val="Текст примечания Знак"/>
    <w:link w:val="855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57">
    <w:name w:val="annotation subject"/>
    <w:basedOn w:val="855"/>
    <w:next w:val="855"/>
    <w:link w:val="858"/>
    <w:semiHidden/>
    <w:rPr>
      <w:b/>
      <w:bCs/>
    </w:rPr>
  </w:style>
  <w:style w:type="character" w:styleId="858" w:customStyle="1">
    <w:name w:val="Тема примечания Знак"/>
    <w:link w:val="857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859" w:customStyle="1">
    <w:name w:val="Заголовок 1 Знак"/>
    <w:link w:val="680"/>
    <w:uiPriority w:val="9"/>
    <w:rPr>
      <w:rFonts w:ascii="Cambria" w:hAnsi="Cambria" w:eastAsia="Times New Roman" w:cs="Times New Roman"/>
      <w:b/>
      <w:bCs/>
      <w:color w:val="365f91"/>
      <w:sz w:val="28"/>
      <w:szCs w:val="28"/>
      <w:lang w:eastAsia="ru-RU"/>
    </w:rPr>
  </w:style>
  <w:style w:type="paragraph" w:styleId="860">
    <w:name w:val="toc 1"/>
    <w:basedOn w:val="679"/>
    <w:next w:val="679"/>
    <w:uiPriority w:val="39"/>
    <w:unhideWhenUsed/>
    <w:pPr>
      <w:spacing w:after="100"/>
    </w:pPr>
  </w:style>
  <w:style w:type="character" w:styleId="861">
    <w:name w:val="Hyperlink"/>
    <w:uiPriority w:val="99"/>
    <w:unhideWhenUsed/>
    <w:rPr>
      <w:color w:val="0000ff"/>
      <w:u w:val="single"/>
    </w:rPr>
  </w:style>
  <w:style w:type="character" w:styleId="862">
    <w:name w:val="annotation reference"/>
    <w:uiPriority w:val="99"/>
    <w:semiHidden/>
    <w:unhideWhenUsed/>
    <w:rPr>
      <w:sz w:val="16"/>
      <w:szCs w:val="16"/>
    </w:rPr>
  </w:style>
  <w:style w:type="paragraph" w:styleId="863">
    <w:name w:val="Balloon Text"/>
    <w:basedOn w:val="679"/>
    <w:link w:val="864"/>
    <w:uiPriority w:val="99"/>
    <w:semiHidden/>
    <w:unhideWhenUsed/>
    <w:rPr>
      <w:rFonts w:ascii="Tahoma" w:hAnsi="Tahoma"/>
      <w:sz w:val="16"/>
      <w:szCs w:val="16"/>
    </w:rPr>
  </w:style>
  <w:style w:type="character" w:styleId="864" w:customStyle="1">
    <w:name w:val="Текст выноски Знак"/>
    <w:link w:val="863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865" w:customStyle="1">
    <w:name w:val="match"/>
    <w:basedOn w:val="689"/>
  </w:style>
  <w:style w:type="paragraph" w:styleId="866" w:customStyle="1">
    <w:name w:val=".FORMATTEXT"/>
    <w:uiPriority w:val="99"/>
    <w:pPr>
      <w:widowControl w:val="off"/>
    </w:pPr>
    <w:rPr>
      <w:rFonts w:ascii="Times New Roman" w:hAnsi="Times New Roman" w:eastAsia="Times New Roman"/>
      <w:sz w:val="24"/>
      <w:szCs w:val="24"/>
    </w:rPr>
  </w:style>
  <w:style w:type="character" w:styleId="867" w:customStyle="1">
    <w:name w:val="apple-converted-space"/>
    <w:basedOn w:val="689"/>
  </w:style>
  <w:style w:type="paragraph" w:styleId="868" w:customStyle="1">
    <w:name w:val="formattext"/>
    <w:basedOn w:val="679"/>
    <w:pPr>
      <w:spacing w:before="100" w:beforeAutospacing="1" w:after="100" w:afterAutospacing="1"/>
    </w:pPr>
  </w:style>
  <w:style w:type="paragraph" w:styleId="869">
    <w:name w:val="List Paragraph"/>
    <w:basedOn w:val="679"/>
    <w:link w:val="897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paragraph" w:styleId="870" w:customStyle="1">
    <w:name w:val="."/>
    <w:uiPriority w:val="99"/>
    <w:pPr>
      <w:widowControl w:val="off"/>
    </w:pPr>
    <w:rPr>
      <w:rFonts w:ascii="Times New Roman" w:hAnsi="Times New Roman" w:eastAsia="Times New Roman"/>
      <w:sz w:val="24"/>
      <w:szCs w:val="24"/>
    </w:rPr>
  </w:style>
  <w:style w:type="paragraph" w:styleId="871">
    <w:name w:val="footnote text"/>
    <w:basedOn w:val="679"/>
    <w:link w:val="872"/>
    <w:uiPriority w:val="99"/>
    <w:semiHidden/>
    <w:rPr>
      <w:sz w:val="20"/>
      <w:szCs w:val="20"/>
    </w:rPr>
  </w:style>
  <w:style w:type="character" w:styleId="872" w:customStyle="1">
    <w:name w:val="Текст сноски Знак"/>
    <w:link w:val="871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73">
    <w:name w:val="footnote reference"/>
    <w:uiPriority w:val="99"/>
    <w:semiHidden/>
    <w:rPr>
      <w:vertAlign w:val="superscript"/>
    </w:rPr>
  </w:style>
  <w:style w:type="paragraph" w:styleId="874" w:customStyle="1">
    <w:name w:val="Default"/>
    <w:rPr>
      <w:rFonts w:ascii="Times New Roman" w:hAnsi="Times New Roman"/>
      <w:color w:val="000000"/>
      <w:sz w:val="24"/>
      <w:szCs w:val="24"/>
      <w:lang w:eastAsia="en-US"/>
    </w:rPr>
  </w:style>
  <w:style w:type="character" w:styleId="875" w:customStyle="1">
    <w:name w:val="Гипертекстовая ссылка"/>
    <w:uiPriority w:val="99"/>
    <w:rPr>
      <w:rFonts w:hint="default" w:ascii="Times New Roman" w:hAnsi="Times New Roman" w:cs="Times New Roman"/>
      <w:b w:val="0"/>
      <w:bCs w:val="0"/>
      <w:color w:val="000000"/>
      <w:sz w:val="26"/>
    </w:rPr>
  </w:style>
  <w:style w:type="paragraph" w:styleId="876">
    <w:name w:val="Normal (Web)"/>
    <w:basedOn w:val="679"/>
    <w:uiPriority w:val="99"/>
    <w:unhideWhenUsed/>
    <w:pPr>
      <w:spacing w:before="240" w:after="240"/>
    </w:pPr>
    <w:rPr>
      <w:color w:val="252525"/>
    </w:rPr>
  </w:style>
  <w:style w:type="paragraph" w:styleId="877">
    <w:name w:val="Footer"/>
    <w:basedOn w:val="679"/>
    <w:link w:val="87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8" w:customStyle="1">
    <w:name w:val="Нижний колонтитул Знак"/>
    <w:link w:val="87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9" w:customStyle="1">
    <w:name w:val="ConsPlusCell"/>
    <w:uiPriority w:val="99"/>
    <w:rPr>
      <w:rFonts w:ascii="Arial" w:hAnsi="Arial" w:cs="Arial"/>
      <w:sz w:val="24"/>
      <w:szCs w:val="24"/>
      <w:lang w:eastAsia="en-US"/>
    </w:rPr>
  </w:style>
  <w:style w:type="paragraph" w:styleId="880" w:customStyle="1">
    <w:name w:val="ConsPlusNormal"/>
    <w:pPr>
      <w:widowControl w:val="off"/>
    </w:pPr>
    <w:rPr>
      <w:rFonts w:ascii="Arial" w:hAnsi="Arial" w:eastAsia="Times New Roman" w:cs="Arial"/>
    </w:rPr>
  </w:style>
  <w:style w:type="character" w:styleId="881">
    <w:name w:val="FollowedHyperlink"/>
    <w:uiPriority w:val="99"/>
    <w:semiHidden/>
    <w:unhideWhenUsed/>
    <w:rPr>
      <w:color w:val="800080"/>
      <w:u w:val="single"/>
    </w:rPr>
  </w:style>
  <w:style w:type="paragraph" w:styleId="882" w:customStyle="1">
    <w:name w:val="headertext"/>
    <w:basedOn w:val="679"/>
    <w:pPr>
      <w:spacing w:before="100" w:beforeAutospacing="1" w:after="100" w:afterAutospacing="1"/>
    </w:pPr>
  </w:style>
  <w:style w:type="paragraph" w:styleId="883">
    <w:name w:val="toa heading"/>
    <w:basedOn w:val="679"/>
    <w:next w:val="679"/>
    <w:uiPriority w:val="99"/>
    <w:semiHidden/>
    <w:unhideWhenUsed/>
    <w:pPr>
      <w:spacing w:before="120"/>
    </w:pPr>
    <w:rPr>
      <w:rFonts w:ascii="Cambria" w:hAnsi="Cambria"/>
      <w:b/>
      <w:bCs/>
    </w:rPr>
  </w:style>
  <w:style w:type="paragraph" w:styleId="884">
    <w:name w:val="No Spacing"/>
    <w:uiPriority w:val="1"/>
    <w:qFormat/>
    <w:rPr>
      <w:sz w:val="22"/>
      <w:szCs w:val="22"/>
      <w:lang w:eastAsia="en-US"/>
    </w:rPr>
  </w:style>
  <w:style w:type="paragraph" w:styleId="885">
    <w:name w:val="Revision"/>
    <w:hidden/>
    <w:uiPriority w:val="99"/>
    <w:semiHidden/>
    <w:rPr>
      <w:rFonts w:ascii="Times New Roman" w:hAnsi="Times New Roman" w:eastAsia="Times New Roman"/>
      <w:sz w:val="24"/>
      <w:szCs w:val="24"/>
    </w:rPr>
  </w:style>
  <w:style w:type="paragraph" w:styleId="886">
    <w:name w:val="Body Text Indent 3"/>
    <w:basedOn w:val="679"/>
    <w:link w:val="887"/>
    <w:pPr>
      <w:ind w:left="283"/>
      <w:spacing w:after="120"/>
    </w:pPr>
    <w:rPr>
      <w:sz w:val="16"/>
      <w:szCs w:val="16"/>
    </w:rPr>
  </w:style>
  <w:style w:type="character" w:styleId="887" w:customStyle="1">
    <w:name w:val="Основной текст с отступом 3 Знак"/>
    <w:link w:val="886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88">
    <w:name w:val="endnote text"/>
    <w:basedOn w:val="679"/>
    <w:link w:val="889"/>
    <w:uiPriority w:val="99"/>
    <w:semiHidden/>
    <w:unhideWhenUsed/>
    <w:rPr>
      <w:sz w:val="20"/>
      <w:szCs w:val="20"/>
    </w:rPr>
  </w:style>
  <w:style w:type="character" w:styleId="889" w:customStyle="1">
    <w:name w:val="Текст концевой сноски Знак"/>
    <w:link w:val="888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90">
    <w:name w:val="endnote reference"/>
    <w:uiPriority w:val="99"/>
    <w:semiHidden/>
    <w:unhideWhenUsed/>
    <w:rPr>
      <w:vertAlign w:val="superscript"/>
    </w:rPr>
  </w:style>
  <w:style w:type="character" w:styleId="891" w:customStyle="1">
    <w:name w:val="Основной текст Знак1"/>
    <w:uiPriority w:val="99"/>
    <w:rPr>
      <w:rFonts w:hint="default" w:ascii="Arial" w:hAnsi="Arial" w:cs="Arial"/>
      <w:shd w:val="clear" w:color="auto" w:fill="ffffff"/>
    </w:rPr>
  </w:style>
  <w:style w:type="character" w:styleId="892">
    <w:name w:val="Strong"/>
    <w:uiPriority w:val="22"/>
    <w:qFormat/>
    <w:rPr>
      <w:b/>
      <w:bCs/>
    </w:rPr>
  </w:style>
  <w:style w:type="paragraph" w:styleId="893">
    <w:name w:val="Body Text"/>
    <w:basedOn w:val="679"/>
    <w:link w:val="894"/>
    <w:uiPriority w:val="99"/>
    <w:unhideWhenUsed/>
    <w:pPr>
      <w:spacing w:after="120"/>
    </w:pPr>
  </w:style>
  <w:style w:type="character" w:styleId="894" w:customStyle="1">
    <w:name w:val="Основной текст Знак"/>
    <w:link w:val="89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5" w:customStyle="1">
    <w:name w:val="Таблица шапка"/>
    <w:basedOn w:val="679"/>
    <w:pPr>
      <w:ind w:left="57" w:right="57"/>
      <w:keepNext/>
      <w:spacing w:before="40" w:after="40"/>
    </w:pPr>
    <w:rPr>
      <w:szCs w:val="20"/>
    </w:rPr>
  </w:style>
  <w:style w:type="paragraph" w:styleId="896" w:customStyle="1">
    <w:name w:val="Таблица текст"/>
    <w:basedOn w:val="679"/>
    <w:pPr>
      <w:ind w:left="57" w:right="57"/>
      <w:spacing w:before="40" w:after="40"/>
    </w:pPr>
    <w:rPr>
      <w:sz w:val="28"/>
      <w:szCs w:val="20"/>
    </w:rPr>
  </w:style>
  <w:style w:type="character" w:styleId="897" w:customStyle="1">
    <w:name w:val="Абзац списка Знак"/>
    <w:link w:val="869"/>
    <w:uiPriority w:val="34"/>
    <w:qFormat/>
    <w:rPr>
      <w:sz w:val="22"/>
      <w:szCs w:val="22"/>
      <w:lang w:eastAsia="en-US"/>
    </w:rPr>
  </w:style>
  <w:style w:type="character" w:styleId="898" w:customStyle="1">
    <w:name w:val="Заголовок 3 Знак"/>
    <w:basedOn w:val="689"/>
    <w:link w:val="682"/>
    <w:uiPriority w:val="9"/>
    <w:semiHidden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://spb1-cons02.interrao.ru/cgi/online.cgi?req=doc&amp;base=LAW&amp;n=58773&amp;date=30.09.202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44025-09A9-444F-87E2-A4D581E11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Inter RAO UES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Корсаков Алексей Борисович</dc:creator>
  <cp:revision>19</cp:revision>
  <dcterms:created xsi:type="dcterms:W3CDTF">2024-10-17T14:31:00Z</dcterms:created>
  <dcterms:modified xsi:type="dcterms:W3CDTF">2024-10-21T10:11:57Z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Kuznecov_AI</vt:lpwstr>
  </property>
  <property fmtid="{D5CDD505-2E9C-101B-9397-08002B2CF9AE}" pid="3" name="CustomObjectId">
    <vt:lpwstr>0900000282f8975e</vt:lpwstr>
  </property>
  <property fmtid="{D5CDD505-2E9C-101B-9397-08002B2CF9AE}" pid="4" name="CustomServerURL">
    <vt:lpwstr>http://asud.interrao.ru:7778/sedir/doc-upload</vt:lpwstr>
  </property>
  <property fmtid="{D5CDD505-2E9C-101B-9397-08002B2CF9AE}" pid="5" name="CustomUserId">
    <vt:lpwstr>Korsakov_AB</vt:lpwstr>
  </property>
  <property fmtid="{D5CDD505-2E9C-101B-9397-08002B2CF9AE}" pid="6" name="CustomObjectState">
    <vt:lpwstr>2502115099</vt:lpwstr>
  </property>
  <property fmtid="{D5CDD505-2E9C-101B-9397-08002B2CF9AE}" pid="7" name="magic_key">
    <vt:lpwstr>MSKWS-00121.khayretdinova.Windows NT...10.192.0.255.127.0.0.1.C:\Users\khayretdinova\AppData\Local\Temp\AsudCheckout\0900000282f8975e\Методика_формирования_технических_заданий_для_проведения_закупочных_процедур_поставки_товаров,_выполнения_работ,_оказания</vt:lpwstr>
  </property>
  <property fmtid="{D5CDD505-2E9C-101B-9397-08002B2CF9AE}" pid="8" name="ConfirmationToolBarEnabled">
    <vt:lpwstr>false</vt:lpwstr>
  </property>
</Properties>
</file>