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4C" w:rsidRPr="003E0797" w:rsidRDefault="00BA25D9">
      <w:pPr>
        <w:rPr>
          <w:rFonts w:ascii="Times New Roman" w:hAnsi="Times New Roman" w:cs="Times New Roman"/>
          <w:b/>
          <w:sz w:val="24"/>
          <w:szCs w:val="24"/>
        </w:rPr>
      </w:pPr>
      <w:r w:rsidRPr="003E0797">
        <w:rPr>
          <w:rFonts w:ascii="Times New Roman" w:hAnsi="Times New Roman" w:cs="Times New Roman"/>
          <w:b/>
          <w:sz w:val="24"/>
          <w:szCs w:val="24"/>
        </w:rPr>
        <w:t>Пункт 11.8 касаемо полномочий ЕИО дополнен пунктом 11.8.1.4:</w:t>
      </w:r>
    </w:p>
    <w:p w:rsidR="00BA25D9" w:rsidRPr="00BA25D9" w:rsidRDefault="00BA25D9" w:rsidP="00BA25D9">
      <w:pPr>
        <w:jc w:val="both"/>
        <w:rPr>
          <w:rFonts w:ascii="Times New Roman" w:hAnsi="Times New Roman" w:cs="Times New Roman"/>
          <w:sz w:val="24"/>
          <w:szCs w:val="24"/>
        </w:rPr>
      </w:pPr>
      <w:r w:rsidRPr="00BA25D9">
        <w:rPr>
          <w:rFonts w:ascii="Times New Roman" w:hAnsi="Times New Roman" w:cs="Times New Roman"/>
          <w:sz w:val="24"/>
          <w:szCs w:val="24"/>
        </w:rPr>
        <w:t>11.8.</w:t>
      </w:r>
      <w:r w:rsidRPr="00BA25D9">
        <w:rPr>
          <w:rFonts w:ascii="Times New Roman" w:hAnsi="Times New Roman" w:cs="Times New Roman"/>
          <w:sz w:val="24"/>
          <w:szCs w:val="24"/>
        </w:rPr>
        <w:tab/>
        <w:t xml:space="preserve">Внесение изменений в ГКПЗ в части включения/исключения закупок, корректировки параметров закупок: </w:t>
      </w:r>
    </w:p>
    <w:p w:rsidR="00DD3DF5" w:rsidRDefault="00BA25D9" w:rsidP="00BA25D9">
      <w:pPr>
        <w:jc w:val="both"/>
        <w:rPr>
          <w:rFonts w:ascii="Times New Roman" w:hAnsi="Times New Roman" w:cs="Times New Roman"/>
          <w:sz w:val="24"/>
          <w:szCs w:val="24"/>
        </w:rPr>
      </w:pPr>
      <w:r w:rsidRPr="00BA25D9">
        <w:rPr>
          <w:rFonts w:ascii="Times New Roman" w:hAnsi="Times New Roman" w:cs="Times New Roman"/>
          <w:sz w:val="24"/>
          <w:szCs w:val="24"/>
        </w:rPr>
        <w:t>11.8.1.</w:t>
      </w:r>
      <w:r w:rsidRPr="00BA25D9">
        <w:rPr>
          <w:rFonts w:ascii="Times New Roman" w:hAnsi="Times New Roman" w:cs="Times New Roman"/>
          <w:sz w:val="24"/>
          <w:szCs w:val="24"/>
        </w:rPr>
        <w:tab/>
        <w:t>Осуществляются на основании решени</w:t>
      </w:r>
      <w:bookmarkStart w:id="0" w:name="_GoBack"/>
      <w:bookmarkEnd w:id="0"/>
      <w:r w:rsidRPr="00BA25D9">
        <w:rPr>
          <w:rFonts w:ascii="Times New Roman" w:hAnsi="Times New Roman" w:cs="Times New Roman"/>
          <w:sz w:val="24"/>
          <w:szCs w:val="24"/>
        </w:rPr>
        <w:t>я ЕИО Общества:</w:t>
      </w:r>
    </w:p>
    <w:p w:rsidR="00BA25D9" w:rsidRPr="00BA25D9" w:rsidRDefault="00BA25D9" w:rsidP="00BA25D9">
      <w:pPr>
        <w:numPr>
          <w:ilvl w:val="3"/>
          <w:numId w:val="1"/>
        </w:numPr>
        <w:tabs>
          <w:tab w:val="left" w:pos="-3544"/>
        </w:tabs>
        <w:spacing w:before="120" w:after="120" w:line="240" w:lineRule="auto"/>
        <w:ind w:left="1134" w:hanging="1134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 w:rsidRPr="00BA25D9">
        <w:rPr>
          <w:rFonts w:ascii="Times New Roman" w:eastAsia="Calibri" w:hAnsi="Times New Roman" w:cs="Times New Roman"/>
          <w:bCs/>
          <w:kern w:val="32"/>
          <w:sz w:val="24"/>
          <w:szCs w:val="24"/>
        </w:rPr>
        <w:t>Стоимостью до 500 000 (пятисот тысяч) рублей включительно (без учета НДС);</w:t>
      </w:r>
    </w:p>
    <w:p w:rsidR="00BA25D9" w:rsidRPr="00BA25D9" w:rsidRDefault="00BA25D9" w:rsidP="00BA25D9">
      <w:pPr>
        <w:numPr>
          <w:ilvl w:val="3"/>
          <w:numId w:val="1"/>
        </w:numPr>
        <w:tabs>
          <w:tab w:val="left" w:pos="-3544"/>
        </w:tabs>
        <w:spacing w:before="120" w:after="120" w:line="240" w:lineRule="auto"/>
        <w:ind w:left="1134" w:hanging="1134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 w:rsidRPr="00BA25D9">
        <w:rPr>
          <w:rFonts w:ascii="Times New Roman" w:eastAsia="Calibri" w:hAnsi="Times New Roman" w:cs="Times New Roman"/>
          <w:sz w:val="24"/>
          <w:szCs w:val="24"/>
        </w:rPr>
        <w:t>При изменении официального курса иностранной валюты по отношению к рублю, установленному Центральным банком Российской Федерации, на дату объявления закупочной процедуры (если организатором является Общество) или дату  направления Поручения в СЗО, в случае первичной фиксации планируемой стоимости закупки в иностранной валюте, не зависимо от величины изменения официального курса иностранной валюты.</w:t>
      </w:r>
    </w:p>
    <w:p w:rsidR="00BA25D9" w:rsidRPr="00BA25D9" w:rsidRDefault="00BA25D9" w:rsidP="00BA25D9">
      <w:pPr>
        <w:numPr>
          <w:ilvl w:val="3"/>
          <w:numId w:val="1"/>
        </w:numPr>
        <w:tabs>
          <w:tab w:val="left" w:pos="-3544"/>
        </w:tabs>
        <w:spacing w:before="120" w:after="120" w:line="240" w:lineRule="auto"/>
        <w:ind w:left="1134" w:hanging="1134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 w:rsidRPr="00BA25D9">
        <w:rPr>
          <w:rFonts w:ascii="Times New Roman" w:eastAsia="Calibri" w:hAnsi="Times New Roman" w:cs="Times New Roman"/>
          <w:sz w:val="24"/>
          <w:szCs w:val="24"/>
        </w:rPr>
        <w:t>При закупках в соответствии с п. 46.1.2. Положения;</w:t>
      </w:r>
    </w:p>
    <w:p w:rsidR="00BA25D9" w:rsidRPr="00F21741" w:rsidRDefault="00BA25D9" w:rsidP="00BA25D9">
      <w:pPr>
        <w:numPr>
          <w:ilvl w:val="3"/>
          <w:numId w:val="1"/>
        </w:numPr>
        <w:tabs>
          <w:tab w:val="left" w:pos="-3544"/>
        </w:tabs>
        <w:spacing w:before="120" w:after="120" w:line="240" w:lineRule="auto"/>
        <w:ind w:left="1134" w:hanging="1134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 w:rsidRPr="00F21741">
        <w:rPr>
          <w:rFonts w:ascii="Times New Roman" w:eastAsia="Calibri" w:hAnsi="Times New Roman" w:cs="Times New Roman"/>
          <w:sz w:val="24"/>
          <w:szCs w:val="24"/>
        </w:rPr>
        <w:t xml:space="preserve">Корректировка </w:t>
      </w:r>
      <w:r w:rsidRPr="00F21741">
        <w:rPr>
          <w:rFonts w:ascii="Times New Roman" w:eastAsia="Calibri" w:hAnsi="Times New Roman" w:cs="Times New Roman"/>
          <w:bCs/>
          <w:sz w:val="24"/>
          <w:szCs w:val="24"/>
        </w:rPr>
        <w:t>начальной (максимальной) цены лота (без корректировки объема) для проведения повторной закупочной процедуры</w:t>
      </w:r>
      <w:r w:rsidRPr="00F21741">
        <w:rPr>
          <w:rFonts w:ascii="Times New Roman" w:eastAsia="Calibri" w:hAnsi="Times New Roman" w:cs="Times New Roman"/>
          <w:sz w:val="24"/>
          <w:szCs w:val="24"/>
        </w:rPr>
        <w:t xml:space="preserve"> в случае признания закупки несостоявшейся по причине отклонения всех заявок участников, поданных с превышением начальной (максимальной) цены закупки.</w:t>
      </w:r>
    </w:p>
    <w:p w:rsidR="00226D0D" w:rsidRDefault="00226D0D" w:rsidP="00226D0D">
      <w:pPr>
        <w:tabs>
          <w:tab w:val="left" w:pos="-3544"/>
        </w:tabs>
        <w:spacing w:before="120" w:after="12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26D0D" w:rsidRPr="00BA25D9" w:rsidRDefault="00EC7DB5" w:rsidP="00226D0D">
      <w:pPr>
        <w:tabs>
          <w:tab w:val="left" w:pos="-3544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226D0D" w:rsidRPr="003E0797">
        <w:rPr>
          <w:rFonts w:ascii="Times New Roman" w:hAnsi="Times New Roman" w:cs="Times New Roman"/>
          <w:b/>
          <w:sz w:val="24"/>
          <w:szCs w:val="24"/>
        </w:rPr>
        <w:t xml:space="preserve"> 24 «Преференции» дополнен пунктами следующего содержания:</w:t>
      </w:r>
    </w:p>
    <w:p w:rsidR="00226D0D" w:rsidRPr="00226D0D" w:rsidRDefault="00226D0D" w:rsidP="00226D0D">
      <w:pPr>
        <w:pStyle w:val="a3"/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0" w:firstLine="0"/>
        <w:jc w:val="both"/>
        <w:rPr>
          <w:rFonts w:ascii="Calibri" w:eastAsia="Calibri" w:hAnsi="Calibri" w:cs="Times New Roman"/>
          <w:bCs/>
          <w:kern w:val="32"/>
        </w:rPr>
      </w:pPr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В случае</w:t>
      </w:r>
      <w:proofErr w:type="gramStart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,</w:t>
      </w:r>
      <w:proofErr w:type="gramEnd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 xml:space="preserve"> если Извещением о проведении закупки (кроме случаев проведения аукциона) 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осуществлении закупок товаров, работ, услуг, оценка и сопоставление заявок на участие в закупке, которые содержат предложения о поставке товаров российского происхождения, выполнении работ, </w:t>
      </w:r>
      <w:proofErr w:type="gramStart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  <w:proofErr w:type="gramEnd"/>
    </w:p>
    <w:p w:rsidR="00226D0D" w:rsidRPr="00226D0D" w:rsidRDefault="00226D0D" w:rsidP="00226D0D">
      <w:pPr>
        <w:pStyle w:val="a3"/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0" w:firstLine="0"/>
        <w:jc w:val="both"/>
        <w:rPr>
          <w:rFonts w:ascii="Calibri" w:eastAsia="Calibri" w:hAnsi="Calibri" w:cs="Times New Roman"/>
          <w:bCs/>
          <w:kern w:val="32"/>
        </w:rPr>
      </w:pPr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В случае</w:t>
      </w:r>
      <w:proofErr w:type="gramStart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,</w:t>
      </w:r>
      <w:proofErr w:type="gramEnd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 xml:space="preserve"> если Извещением о проведении аукциона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услуг, в случае, если победителем закупки представлена заявка на участие в закупке, содержащая предложение о поставке товаров, происходящих из иностранных государств, или предложение о выполнении работ, оказании услуг иностранными лицами, договор с таким победителем заключается по цене, </w:t>
      </w:r>
      <w:proofErr w:type="gramStart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сниженной на 15 процентов от предложенной им цены договора.</w:t>
      </w:r>
      <w:proofErr w:type="gramEnd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 xml:space="preserve"> В случае</w:t>
      </w:r>
      <w:proofErr w:type="gramStart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,</w:t>
      </w:r>
      <w:proofErr w:type="gramEnd"/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 xml:space="preserve"> если победителем закупки, при проведении которой цена договора снижена до нуля и которая проводится на право заключить договор, представлена заявка на участие в закупке, которая содержит предложение о поставке товаров, происходящих из иностранных государств, или предложение о выполнении работ, оказании услуг иностранными лицами, договор с таким победителем заключается по цене, увеличенной на 15 процентов от предложенной им цены договора.</w:t>
      </w:r>
    </w:p>
    <w:p w:rsidR="00226D0D" w:rsidRPr="00226D0D" w:rsidRDefault="00226D0D" w:rsidP="00226D0D">
      <w:pPr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1134" w:hanging="1134"/>
        <w:jc w:val="both"/>
        <w:rPr>
          <w:rFonts w:ascii="Calibri" w:eastAsia="Calibri" w:hAnsi="Calibri" w:cs="Times New Roman"/>
          <w:bCs/>
          <w:kern w:val="32"/>
        </w:rPr>
      </w:pPr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Условиями предоставления приоритета является: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должен указать (декларировать)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представления недостоверных сведений о стране происхождения товара, указанного в заявке на участие в закупке, заявка такого участника будет отклонена;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сведений о начальной (максимальной) цене единицы каждого товара, работы, услуги, являющихся предметом закупки;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"/>
      <w:bookmarkEnd w:id="1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в заявке на участие в закупке указания (декларирования) страны происхождения поставляемого товара, данный факт не является основанием для отклонения заявки на участие в </w:t>
      </w:r>
      <w:proofErr w:type="gramStart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proofErr w:type="gramEnd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такая заявка рассматривается как содержащая предложение о поставке иностранных товаров;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 подпунктами «г» - «д» п. 24.7. настоящего Положения, цена единицы каждого товара, работы, услуги определяется как произведение начальной (максимальной) цены единицы товара, работы, услуги, на коэффициент изменения начальной (максимальной) цены договора по результатам проведения закупки, определяемый</w:t>
      </w:r>
      <w:proofErr w:type="gramEnd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результат деления цены договора, по которой заключается договор, на начальную (максимальную) цену договора.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победителя закупки уклонившимся от заключения договора, такой договор заключается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</w:p>
    <w:p w:rsidR="00226D0D" w:rsidRPr="00226D0D" w:rsidRDefault="00226D0D" w:rsidP="00226D0D">
      <w:pPr>
        <w:widowControl w:val="0"/>
        <w:numPr>
          <w:ilvl w:val="4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договора, заключенного с участником закупки,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:rsidR="00226D0D" w:rsidRPr="00226D0D" w:rsidRDefault="00226D0D" w:rsidP="00226D0D">
      <w:pPr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1134" w:hanging="1134"/>
        <w:jc w:val="both"/>
        <w:rPr>
          <w:rFonts w:ascii="Calibri" w:eastAsia="Calibri" w:hAnsi="Calibri" w:cs="Times New Roman"/>
          <w:bCs/>
          <w:kern w:val="32"/>
        </w:rPr>
      </w:pPr>
      <w:r w:rsidRPr="00226D0D">
        <w:rPr>
          <w:rFonts w:ascii="Times New Roman" w:eastAsia="Calibri" w:hAnsi="Times New Roman" w:cs="Times New Roman"/>
          <w:bCs/>
          <w:kern w:val="32"/>
          <w:sz w:val="24"/>
          <w:szCs w:val="24"/>
        </w:rPr>
        <w:t>Приоритет не предоставляется в случаях, если:</w:t>
      </w:r>
    </w:p>
    <w:p w:rsidR="00226D0D" w:rsidRPr="00226D0D" w:rsidRDefault="00226D0D" w:rsidP="00226D0D">
      <w:pPr>
        <w:widowControl w:val="0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признана </w:t>
      </w:r>
      <w:proofErr w:type="gramStart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закупки;</w:t>
      </w:r>
    </w:p>
    <w:p w:rsidR="00226D0D" w:rsidRPr="00226D0D" w:rsidRDefault="00226D0D" w:rsidP="00226D0D">
      <w:pPr>
        <w:widowControl w:val="0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на участие в закупке не содержится предложений о поставке товаров российского происхождения, выполнении </w:t>
      </w: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работ, оказании услуг российскими лицами;</w:t>
      </w:r>
    </w:p>
    <w:p w:rsidR="00226D0D" w:rsidRPr="00226D0D" w:rsidRDefault="00226D0D" w:rsidP="00226D0D">
      <w:pPr>
        <w:widowControl w:val="0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226D0D" w:rsidRPr="00226D0D" w:rsidRDefault="00226D0D" w:rsidP="00226D0D">
      <w:pPr>
        <w:widowControl w:val="0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4"/>
      <w:bookmarkEnd w:id="2"/>
      <w:proofErr w:type="gramStart"/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на участие в закупке (кроме случаев проведения аукциона),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  <w:proofErr w:type="gramEnd"/>
    </w:p>
    <w:p w:rsidR="00BA25D9" w:rsidRPr="00EC7DB5" w:rsidRDefault="00226D0D" w:rsidP="00BA25D9">
      <w:pPr>
        <w:widowControl w:val="0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на участие в аукционе,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37.1 изложен в новой редакции.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Старая редакция: </w:t>
      </w:r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37.1.</w:t>
      </w:r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Упрощенная процедура закупки – закупка, при которой информация о потребностях в Продукции для нужд Общества сообщается потенциальным Поставщикам такой Продукции (информации о потребностях в Продукции может быть размещена в сети Интернет, в </w:t>
      </w:r>
      <w:proofErr w:type="spellStart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Интернет-ресурсах). Победителем процедуры признается Участник закупки, предложивший наиболее низкую цену и/или наилучшие условия исполнения договора.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Новая редакция: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37.1.</w:t>
      </w:r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Упрощенная процедура закупки – закупка, при которой Заказчик выбирает поставщика c наиболее низкой ценой и/или наилучшими условиями исполнения </w:t>
      </w:r>
      <w:proofErr w:type="gramStart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proofErr w:type="gramEnd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проводимого им обзора рынка, запросов потенциальным поставщикам и анализа их предложений. Информация о потребности в Продукции может быть размещена в сети Интернет, в </w:t>
      </w:r>
      <w:proofErr w:type="spellStart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7DB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Интернет-ресурсах. В обоснование выбора предлагаемого поставщика (победителя) Заказчик формирует конкурентную карту с результатами анализа, не менее 3 имеющихся/поступивших предложений поставщиков. Цена предложения выбранного поставщика (победителя) не может превышать начальную (максимальную) цену, установленную в ГКПЗ.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Пункт 37.12 изложен в новой редакции.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Старая редакция: </w:t>
      </w:r>
      <w:r w:rsidRPr="00EC7DB5">
        <w:rPr>
          <w:rFonts w:ascii="Times New Roman" w:hAnsi="Times New Roman" w:cs="Times New Roman"/>
          <w:sz w:val="24"/>
          <w:szCs w:val="24"/>
        </w:rPr>
        <w:t>37.12.</w:t>
      </w:r>
      <w:r w:rsidRPr="00EC7DB5">
        <w:rPr>
          <w:rFonts w:ascii="Times New Roman" w:hAnsi="Times New Roman" w:cs="Times New Roman"/>
          <w:sz w:val="24"/>
          <w:szCs w:val="24"/>
        </w:rPr>
        <w:tab/>
        <w:t>Запрещается вносить в конкурентную карту: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Поставщиков, предусмотренном Федеральным законом от 05.04.2013 г. № 44-ФЗ;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Поставщиков, предусмотре</w:t>
      </w:r>
      <w:r>
        <w:rPr>
          <w:rFonts w:ascii="Times New Roman" w:hAnsi="Times New Roman" w:cs="Times New Roman"/>
          <w:sz w:val="24"/>
          <w:szCs w:val="24"/>
        </w:rPr>
        <w:t>нном Федеральным законом от 18.07</w:t>
      </w:r>
      <w:r w:rsidRPr="00EC7DB5">
        <w:rPr>
          <w:rFonts w:ascii="Times New Roman" w:hAnsi="Times New Roman" w:cs="Times New Roman"/>
          <w:sz w:val="24"/>
          <w:szCs w:val="24"/>
        </w:rPr>
        <w:t>.2011 № 223-ФЗ;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 Общества и/или Группы;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поставщике, сведение о цене предложения которого, превышает начальную (максимальную) цену, установленную в ГКПЗ.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DB5">
        <w:rPr>
          <w:rFonts w:ascii="Times New Roman" w:hAnsi="Times New Roman" w:cs="Times New Roman"/>
          <w:b/>
          <w:sz w:val="24"/>
          <w:szCs w:val="24"/>
        </w:rPr>
        <w:lastRenderedPageBreak/>
        <w:t>Новая редакция:</w:t>
      </w:r>
      <w:r w:rsidRPr="00EC7DB5">
        <w:t xml:space="preserve"> </w:t>
      </w:r>
      <w:r w:rsidRPr="00EC7DB5">
        <w:rPr>
          <w:rFonts w:ascii="Times New Roman" w:hAnsi="Times New Roman" w:cs="Times New Roman"/>
          <w:sz w:val="24"/>
          <w:szCs w:val="24"/>
        </w:rPr>
        <w:t>37.12.</w:t>
      </w:r>
      <w:r w:rsidRPr="00EC7DB5">
        <w:rPr>
          <w:rFonts w:ascii="Times New Roman" w:hAnsi="Times New Roman" w:cs="Times New Roman"/>
          <w:sz w:val="24"/>
          <w:szCs w:val="24"/>
        </w:rPr>
        <w:tab/>
        <w:t>Запрещается вносить в конкурентную карту: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Поставщиков, предусмотренном Федеральным законом от 05.04.2013  № 44-ФЗ;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Поставщиков, предусмотренном Федеральным законом от 18.07.2011 № 223-ФЗ;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DB5">
        <w:rPr>
          <w:rFonts w:ascii="Times New Roman" w:hAnsi="Times New Roman" w:cs="Times New Roman"/>
          <w:sz w:val="24"/>
          <w:szCs w:val="24"/>
        </w:rPr>
        <w:tab/>
        <w:t>информацию о поставщиках, сведения о которых содержатся в Реестре недобросовестных Поставщиков Общества и/или Группы.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EC7DB5">
        <w:rPr>
          <w:rFonts w:ascii="Times New Roman" w:hAnsi="Times New Roman" w:cs="Times New Roman"/>
          <w:b/>
          <w:sz w:val="24"/>
          <w:szCs w:val="24"/>
        </w:rPr>
        <w:t xml:space="preserve"> 37 «Упрощенная процедура закупки» дополнен пунктами следующего содержания:</w:t>
      </w:r>
    </w:p>
    <w:p w:rsid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C7DB5" w:rsidRPr="00EC7DB5" w:rsidRDefault="00EC7DB5" w:rsidP="00EC7DB5">
      <w:pPr>
        <w:pStyle w:val="a3"/>
        <w:numPr>
          <w:ilvl w:val="1"/>
          <w:numId w:val="7"/>
        </w:numPr>
        <w:tabs>
          <w:tab w:val="left" w:pos="709"/>
        </w:tabs>
        <w:spacing w:before="120" w:after="120" w:line="240" w:lineRule="auto"/>
        <w:ind w:left="0" w:firstLine="0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 w:rsidRPr="00EC7DB5">
        <w:rPr>
          <w:rFonts w:ascii="Times New Roman" w:eastAsia="Calibri" w:hAnsi="Times New Roman" w:cs="Times New Roman"/>
          <w:bCs/>
          <w:kern w:val="32"/>
          <w:sz w:val="24"/>
          <w:szCs w:val="24"/>
        </w:rPr>
        <w:t>Средняя цена поставщиков, включенных в конкурентную карту не должна превышать начальную (максимальную) цену, установленную в ГКПЗ более чем на 40%.</w:t>
      </w:r>
    </w:p>
    <w:p w:rsidR="00EC7DB5" w:rsidRPr="00EC7DB5" w:rsidRDefault="00EC7DB5" w:rsidP="00EC7DB5">
      <w:pPr>
        <w:pStyle w:val="a3"/>
        <w:numPr>
          <w:ilvl w:val="1"/>
          <w:numId w:val="8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При проведении упрощенной процедуры на сумму не более 500 000 (пятьсот тысяч)  рублей включительно (без учета НДС), допускается использование информации о поставщиках и поставляемых ими товарах, работах, услугах посредством электронного сервиса корпоративного </w:t>
      </w:r>
      <w:proofErr w:type="gramStart"/>
      <w:r w:rsidRPr="00EC7DB5">
        <w:rPr>
          <w:rFonts w:ascii="Times New Roman" w:eastAsia="Calibri" w:hAnsi="Times New Roman" w:cs="Times New Roman"/>
          <w:sz w:val="24"/>
          <w:szCs w:val="24"/>
        </w:rPr>
        <w:t>интернет-магазина</w:t>
      </w:r>
      <w:proofErr w:type="gramEnd"/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 Группы «</w:t>
      </w:r>
      <w:proofErr w:type="spellStart"/>
      <w:r w:rsidRPr="00EC7DB5">
        <w:rPr>
          <w:rFonts w:ascii="Times New Roman" w:eastAsia="Calibri" w:hAnsi="Times New Roman" w:cs="Times New Roman"/>
          <w:sz w:val="24"/>
          <w:szCs w:val="24"/>
        </w:rPr>
        <w:t>Интер</w:t>
      </w:r>
      <w:proofErr w:type="spellEnd"/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 РАО», расположенного в информационно-телекоммуникационной сети «Интернет».</w:t>
      </w:r>
    </w:p>
    <w:p w:rsidR="00EC7DB5" w:rsidRPr="00EC7DB5" w:rsidRDefault="00EC7DB5" w:rsidP="00EC7DB5">
      <w:pPr>
        <w:pStyle w:val="a3"/>
        <w:numPr>
          <w:ilvl w:val="1"/>
          <w:numId w:val="8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Порядок запроса ценовых предложений, порядок направления ценовых предложений Поставщиками посредством сервиса корпоративного </w:t>
      </w:r>
      <w:proofErr w:type="gramStart"/>
      <w:r w:rsidRPr="00EC7DB5">
        <w:rPr>
          <w:rFonts w:ascii="Times New Roman" w:eastAsia="Calibri" w:hAnsi="Times New Roman" w:cs="Times New Roman"/>
          <w:sz w:val="24"/>
          <w:szCs w:val="24"/>
        </w:rPr>
        <w:t>интернет-магазина</w:t>
      </w:r>
      <w:proofErr w:type="gramEnd"/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 Группы «</w:t>
      </w:r>
      <w:proofErr w:type="spellStart"/>
      <w:r w:rsidRPr="00EC7DB5">
        <w:rPr>
          <w:rFonts w:ascii="Times New Roman" w:eastAsia="Calibri" w:hAnsi="Times New Roman" w:cs="Times New Roman"/>
          <w:sz w:val="24"/>
          <w:szCs w:val="24"/>
        </w:rPr>
        <w:t>Интер</w:t>
      </w:r>
      <w:proofErr w:type="spellEnd"/>
      <w:r w:rsidRPr="00EC7DB5">
        <w:rPr>
          <w:rFonts w:ascii="Times New Roman" w:eastAsia="Calibri" w:hAnsi="Times New Roman" w:cs="Times New Roman"/>
          <w:sz w:val="24"/>
          <w:szCs w:val="24"/>
        </w:rPr>
        <w:t xml:space="preserve"> РАО» регулируются в соответствии с инструкциями ЭТП, размещенными в сети «Интернет».</w:t>
      </w:r>
    </w:p>
    <w:p w:rsidR="00EC7DB5" w:rsidRPr="00EC7DB5" w:rsidRDefault="00EC7DB5" w:rsidP="00EC7D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DF5" w:rsidRPr="00DD3DF5" w:rsidRDefault="00DD3DF5" w:rsidP="00DD3DF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D3DF5" w:rsidRPr="00DD3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5BA0"/>
    <w:multiLevelType w:val="multilevel"/>
    <w:tmpl w:val="A50AF09A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>
    <w:nsid w:val="0883303F"/>
    <w:multiLevelType w:val="multilevel"/>
    <w:tmpl w:val="0FF698AC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F3233B6"/>
    <w:multiLevelType w:val="multilevel"/>
    <w:tmpl w:val="6CFA220A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0100B7F"/>
    <w:multiLevelType w:val="multilevel"/>
    <w:tmpl w:val="745212FC"/>
    <w:lvl w:ilvl="0">
      <w:start w:val="24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."/>
      <w:lvlJc w:val="left"/>
      <w:pPr>
        <w:ind w:left="1614" w:hanging="48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ascii="Times New Roman" w:hAnsi="Times New Roman" w:hint="default"/>
        <w:sz w:val="24"/>
      </w:rPr>
    </w:lvl>
  </w:abstractNum>
  <w:abstractNum w:abstractNumId="4">
    <w:nsid w:val="42AB52EC"/>
    <w:multiLevelType w:val="multilevel"/>
    <w:tmpl w:val="C73CDB5C"/>
    <w:lvl w:ilvl="0">
      <w:start w:val="3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73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516B3116"/>
    <w:multiLevelType w:val="multilevel"/>
    <w:tmpl w:val="B89E0E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6">
    <w:nsid w:val="5FFB592C"/>
    <w:multiLevelType w:val="multilevel"/>
    <w:tmpl w:val="6E5AE924"/>
    <w:lvl w:ilvl="0">
      <w:start w:val="3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67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7">
    <w:nsid w:val="7513378F"/>
    <w:multiLevelType w:val="multilevel"/>
    <w:tmpl w:val="F89061E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51"/>
    <w:rsid w:val="0006524C"/>
    <w:rsid w:val="00097F51"/>
    <w:rsid w:val="00226D0D"/>
    <w:rsid w:val="00306792"/>
    <w:rsid w:val="003E0797"/>
    <w:rsid w:val="005A7E96"/>
    <w:rsid w:val="00BA25D9"/>
    <w:rsid w:val="00DD3DF5"/>
    <w:rsid w:val="00EC7DB5"/>
    <w:rsid w:val="00F2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shnvl</dc:creator>
  <cp:keywords/>
  <dc:description/>
  <cp:lastModifiedBy>shnvl</cp:lastModifiedBy>
  <cp:revision>8</cp:revision>
  <dcterms:created xsi:type="dcterms:W3CDTF">2017-01-09T08:12:00Z</dcterms:created>
  <dcterms:modified xsi:type="dcterms:W3CDTF">2017-05-26T08:20:00Z</dcterms:modified>
</cp:coreProperties>
</file>