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9" w:right="12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Договор № </w:t>
      </w:r>
      <w:r>
        <w:rPr>
          <w:rFonts w:ascii="Times New Roman" w:hAnsi="Times New Roman"/>
          <w:b/>
          <w:bCs/>
          <w:color w:val="000000"/>
        </w:rPr>
        <w:t xml:space="preserve">___________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ind w:left="109" w:right="12"/>
        <w:jc w:val="center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108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г. Санкт-Петербург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ind w:left="-28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___</w:t>
            </w:r>
            <w:r>
              <w:rPr>
                <w:rFonts w:ascii="Times New Roman" w:hAnsi="Times New Roman"/>
                <w:color w:val="000000"/>
              </w:rPr>
              <w:t xml:space="preserve">» </w:t>
            </w:r>
            <w:r>
              <w:rPr>
                <w:rFonts w:ascii="Times New Roman" w:hAnsi="Times New Roman"/>
                <w:color w:val="000000"/>
              </w:rPr>
              <w:t xml:space="preserve">_________</w:t>
            </w:r>
            <w:r>
              <w:rPr>
                <w:rFonts w:ascii="Times New Roman" w:hAnsi="Times New Roman"/>
                <w:color w:val="000000"/>
              </w:rPr>
              <w:t xml:space="preserve"> 2025 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right="-8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Акционерное общество «Петербургская сбытовая компания»</w:t>
      </w:r>
      <w:r>
        <w:rPr>
          <w:rFonts w:ascii="Times New Roman" w:hAnsi="Times New Roman"/>
          <w:b/>
          <w:bCs/>
          <w:color w:val="000000"/>
        </w:rPr>
        <w:t xml:space="preserve"> (АО </w:t>
      </w:r>
      <w:r>
        <w:rPr>
          <w:rFonts w:ascii="Times New Roman" w:hAnsi="Times New Roman"/>
          <w:b/>
          <w:bCs/>
          <w:color w:val="000000"/>
        </w:rPr>
        <w:t xml:space="preserve">«Петербургская сбытовая компания»</w:t>
      </w:r>
      <w:r>
        <w:rPr>
          <w:rFonts w:ascii="Times New Roman" w:hAnsi="Times New Roman"/>
          <w:b/>
          <w:bCs/>
          <w:color w:val="000000"/>
        </w:rPr>
        <w:t xml:space="preserve">)</w:t>
      </w:r>
      <w:r>
        <w:rPr>
          <w:rFonts w:ascii="Times New Roman" w:hAnsi="Times New Roman"/>
          <w:color w:val="000000"/>
        </w:rPr>
        <w:t xml:space="preserve">, именуемое в дальнейшем </w:t>
      </w:r>
      <w:r>
        <w:rPr>
          <w:rFonts w:ascii="Times New Roman" w:hAnsi="Times New Roman"/>
          <w:b/>
          <w:color w:val="000000"/>
        </w:rPr>
        <w:t xml:space="preserve">«Исполнитель»</w:t>
      </w:r>
      <w:r>
        <w:rPr>
          <w:rFonts w:ascii="Times New Roman" w:hAnsi="Times New Roman"/>
          <w:color w:val="000000"/>
        </w:rPr>
        <w:t xml:space="preserve">, в лице </w:t>
      </w:r>
      <w:r>
        <w:rPr>
          <w:rFonts w:ascii="Times New Roman" w:hAnsi="Times New Roman"/>
          <w:color w:val="000000"/>
        </w:rPr>
        <w:t xml:space="preserve">директора по развитию и маркетингу Ковалевой Ольги Евгеньевны, действующего на основании доверенности № 84/2023 (машиночитаемой доверенности 73373d10-335a-43fc-9ce5-f12e6b00d268) от 27.11.2023</w:t>
      </w:r>
      <w:r>
        <w:rPr>
          <w:rFonts w:ascii="Times New Roman" w:hAnsi="Times New Roman"/>
          <w:color w:val="000000"/>
        </w:rPr>
        <w:t xml:space="preserve">, с одной стороны, и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right="-8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_______________________</w:t>
      </w:r>
      <w:r>
        <w:rPr>
          <w:rFonts w:ascii="Times New Roman" w:hAnsi="Times New Roman"/>
          <w:b/>
          <w:bCs/>
          <w:color w:val="000000"/>
        </w:rPr>
        <w:t xml:space="preserve"> (_________________)</w:t>
      </w:r>
      <w:r>
        <w:rPr>
          <w:rFonts w:ascii="Times New Roman" w:hAnsi="Times New Roman"/>
          <w:color w:val="000000"/>
        </w:rPr>
        <w:t xml:space="preserve">, именуемое в дальнейшем </w:t>
      </w:r>
      <w:r>
        <w:rPr>
          <w:rFonts w:ascii="Times New Roman" w:hAnsi="Times New Roman"/>
          <w:b/>
          <w:color w:val="000000"/>
        </w:rPr>
        <w:t xml:space="preserve">«Заказчик»</w:t>
      </w:r>
      <w:r>
        <w:rPr>
          <w:rFonts w:ascii="Times New Roman" w:hAnsi="Times New Roman"/>
          <w:color w:val="000000"/>
        </w:rPr>
        <w:t xml:space="preserve">, в лице ________________________, действующего на основании ________________________, с другой стороны, совместно именуемые «Стороны», заключили настоящий Договор о нижеследующем: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829" w:right="11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ПРЕДМЕТ ДОГОВОРА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567" w:leader="none"/>
          <w:tab w:val="clear" w:pos="610" w:leader="none"/>
          <w:tab w:val="left" w:pos="1276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Исполнитель обязуется оказывать услуги по плановому техническому обслуживанию </w:t>
      </w:r>
      <w:r>
        <w:rPr>
          <w:rFonts w:ascii="Times New Roman" w:hAnsi="Times New Roman"/>
          <w:color w:val="000000"/>
        </w:rPr>
        <w:t xml:space="preserve">а</w:t>
      </w:r>
      <w:r>
        <w:rPr>
          <w:rFonts w:ascii="Times New Roman" w:hAnsi="Times New Roman"/>
          <w:color w:val="000000"/>
        </w:rPr>
        <w:t xml:space="preserve">втоматизированной системы дистанционного сбора данных о потреблении электроэнергии (далее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– АСДС), принадлежащей Заказчику и установленной на объекте(ах) Заказчика </w:t>
      </w:r>
      <w:r>
        <w:rPr>
          <w:rFonts w:ascii="Times New Roman" w:hAnsi="Times New Roman"/>
          <w:color w:val="000000"/>
        </w:rPr>
        <w:t xml:space="preserve">по адресу </w:t>
      </w:r>
      <w:r>
        <w:rPr>
          <w:rFonts w:ascii="Times New Roman" w:hAnsi="Times New Roman"/>
          <w:color w:val="000000"/>
        </w:rPr>
        <w:t xml:space="preserve">согласно Приложению № 1</w:t>
      </w:r>
      <w:r>
        <w:rPr>
          <w:rFonts w:ascii="Times New Roman" w:hAnsi="Times New Roman"/>
          <w:color w:val="000000"/>
        </w:rPr>
        <w:t xml:space="preserve"> к Договору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567" w:leader="none"/>
          <w:tab w:val="clear" w:pos="610" w:leader="none"/>
          <w:tab w:val="left" w:pos="1276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Плановое техническое обслуживание АСДС – выполнение Исполнителем комплекса мероприятий, обеспечивающих эксплуатацию технически исправной АСДС Заказчика без изменения первоначальной функциональности АСДС. Плановое </w:t>
      </w:r>
      <w:r>
        <w:rPr>
          <w:rFonts w:ascii="Times New Roman" w:hAnsi="Times New Roman"/>
          <w:color w:val="000000"/>
        </w:rPr>
        <w:t xml:space="preserve">техническое </w:t>
      </w:r>
      <w:r>
        <w:rPr>
          <w:rFonts w:ascii="Times New Roman" w:hAnsi="Times New Roman"/>
          <w:color w:val="000000"/>
        </w:rPr>
        <w:t xml:space="preserve">обслуживание АСДС </w:t>
      </w:r>
      <w:r>
        <w:rPr>
          <w:rFonts w:ascii="Times New Roman" w:hAnsi="Times New Roman"/>
          <w:color w:val="000000"/>
        </w:rPr>
        <w:t xml:space="preserve">включает в себя</w:t>
      </w:r>
      <w:r>
        <w:rPr>
          <w:rFonts w:ascii="Times New Roman" w:hAnsi="Times New Roman"/>
          <w:color w:val="000000"/>
        </w:rPr>
        <w:t xml:space="preserve">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11"/>
        </w:numPr>
        <w:ind w:hanging="82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Техническое </w:t>
      </w:r>
      <w:r>
        <w:rPr>
          <w:rFonts w:ascii="Times New Roman" w:hAnsi="Times New Roman"/>
          <w:color w:val="000000"/>
        </w:rPr>
        <w:t xml:space="preserve">обслуживание</w:t>
      </w:r>
      <w:r>
        <w:rPr>
          <w:rFonts w:ascii="Times New Roman" w:hAnsi="Times New Roman"/>
          <w:color w:val="000000"/>
        </w:rPr>
        <w:t xml:space="preserve"> измерительных приборов учета</w:t>
      </w:r>
      <w:r>
        <w:rPr>
          <w:rFonts w:ascii="Times New Roman" w:hAnsi="Times New Roman"/>
          <w:color w:val="000000"/>
        </w:rPr>
        <w:t xml:space="preserve">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2835" w:hanging="226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контроль функционирования приборов учета;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2835" w:hanging="226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дистанционный мониторинг работы каналов связи;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2835" w:hanging="226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сбор и анализ заявок потребителей о неисправном оборудовании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11"/>
        </w:numPr>
        <w:ind w:hanging="82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Обслуживание программного обеспечения и предоставление доступа в личный кабинет АСДС</w:t>
      </w:r>
      <w:r>
        <w:rPr>
          <w:rFonts w:ascii="Times New Roman" w:hAnsi="Times New Roman"/>
          <w:color w:val="000000"/>
        </w:rPr>
        <w:t xml:space="preserve">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2835" w:hanging="226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диагностика и мониторинг функционирования программных средств;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2835" w:hanging="226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контроль работы серве</w:t>
      </w:r>
      <w:r>
        <w:rPr>
          <w:rFonts w:ascii="Times New Roman" w:hAnsi="Times New Roman"/>
          <w:color w:val="000000"/>
        </w:rPr>
        <w:t xml:space="preserve">рного программного обеспечения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11"/>
        </w:numPr>
        <w:ind w:hanging="82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Техническое обслуживание коммуникационного оборудования: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2835" w:hanging="226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контроль состояния и уровня сигнала связи с оборудованием;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2835" w:hanging="2268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анализ журнала событий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567" w:leader="none"/>
          <w:tab w:val="clear" w:pos="610" w:leader="none"/>
          <w:tab w:val="left" w:pos="1276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Внеплановое техническое обслуживание – оказание дополнительных услуг Исполнителем в целях устранения возникших неисправностей оборудования, узлов АСДС, производство пуско-наладочных и иных работ. </w:t>
      </w:r>
      <w:r>
        <w:rPr>
          <w:rFonts w:ascii="Times New Roman" w:hAnsi="Times New Roman"/>
          <w:color w:val="000000"/>
        </w:rPr>
        <w:t xml:space="preserve">Условия и стоимость оказания услуг по внеплановому техническому обслуживанию АСДС согласуются Сторонами отдельно.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567" w:leader="none"/>
          <w:tab w:val="clear" w:pos="610" w:leader="none"/>
          <w:tab w:val="left" w:pos="1276" w:leader="none"/>
        </w:tabs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</w:rPr>
        <w:t xml:space="preserve">П</w:t>
      </w:r>
      <w:r>
        <w:rPr>
          <w:rFonts w:ascii="Times New Roman" w:hAnsi="Times New Roman"/>
          <w:color w:val="000000"/>
          <w:highlight w:val="white"/>
        </w:rPr>
        <w:t xml:space="preserve">ериод </w:t>
      </w:r>
      <w:r>
        <w:rPr>
          <w:rFonts w:ascii="Times New Roman" w:hAnsi="Times New Roman"/>
          <w:color w:val="000000"/>
          <w:highlight w:val="white"/>
        </w:rPr>
        <w:t xml:space="preserve">планового </w:t>
      </w:r>
      <w:r>
        <w:rPr>
          <w:rFonts w:ascii="Times New Roman" w:hAnsi="Times New Roman"/>
          <w:color w:val="000000"/>
          <w:highlight w:val="white"/>
        </w:rPr>
        <w:t xml:space="preserve">технического обслуживания </w:t>
      </w:r>
      <w:r>
        <w:rPr>
          <w:rFonts w:ascii="Times New Roman" w:hAnsi="Times New Roman"/>
          <w:color w:val="000000"/>
          <w:highlight w:val="white"/>
        </w:rPr>
        <w:t xml:space="preserve">АСДС (далее – период обслуживания) </w:t>
      </w:r>
      <w:r>
        <w:rPr>
          <w:rFonts w:ascii="Times New Roman" w:hAnsi="Times New Roman"/>
          <w:color w:val="000000"/>
          <w:highlight w:val="white"/>
        </w:rPr>
        <w:t xml:space="preserve">определен настоящим Договором как </w:t>
      </w:r>
      <w:r>
        <w:rPr>
          <w:rFonts w:ascii="Times New Roman" w:hAnsi="Times New Roman"/>
          <w:color w:val="000000"/>
          <w:highlight w:val="white"/>
        </w:rPr>
        <w:t xml:space="preserve">квартал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yellow"/>
        </w:rPr>
      </w:r>
    </w:p>
    <w:p>
      <w:pPr>
        <w:numPr>
          <w:ilvl w:val="1"/>
          <w:numId w:val="11"/>
        </w:numPr>
        <w:ind w:left="675" w:hanging="675"/>
        <w:jc w:val="both"/>
        <w:spacing w:after="0" w:line="240" w:lineRule="auto"/>
        <w:widowControl w:val="off"/>
        <w:tabs>
          <w:tab w:val="left" w:pos="610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 обязуется оплатить оказанные услуги в порядке, предусмотренном настоящим Договором.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610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Услуги по плановому техническому обслуживанию АСДС оказываются Исполнителем в рабочие дни.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610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возникновения нарушений функциональности в работе </w:t>
      </w:r>
      <w:r>
        <w:rPr>
          <w:rFonts w:ascii="Times New Roman" w:hAnsi="Times New Roman"/>
          <w:color w:val="000000"/>
        </w:rPr>
        <w:t xml:space="preserve">АСДС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про</w:t>
      </w:r>
      <w:r>
        <w:rPr>
          <w:rFonts w:ascii="Times New Roman" w:hAnsi="Times New Roman"/>
          <w:color w:val="000000"/>
        </w:rPr>
        <w:t xml:space="preserve">изошедших по вине Заказчика, </w:t>
      </w:r>
      <w:r>
        <w:rPr>
          <w:rFonts w:ascii="Times New Roman" w:hAnsi="Times New Roman"/>
          <w:color w:val="000000"/>
        </w:rPr>
        <w:t xml:space="preserve">Исполнитель вправе приостановить исполнение своих обязанностей по плановому техническому обслуживанию </w:t>
      </w:r>
      <w:r>
        <w:rPr>
          <w:rFonts w:ascii="Times New Roman" w:hAnsi="Times New Roman"/>
          <w:color w:val="000000"/>
        </w:rPr>
        <w:t xml:space="preserve">АСДС</w:t>
      </w:r>
      <w:r>
        <w:rPr>
          <w:rFonts w:ascii="Times New Roman" w:hAnsi="Times New Roman"/>
          <w:color w:val="000000"/>
        </w:rPr>
        <w:t xml:space="preserve">, в том числе по предоставлению данных, полученных в процессе дистанционного снятия показаний приборов учета </w:t>
      </w:r>
      <w:r>
        <w:rPr>
          <w:rFonts w:ascii="Times New Roman" w:hAnsi="Times New Roman"/>
          <w:color w:val="000000"/>
        </w:rPr>
        <w:t xml:space="preserve">электроэнергии </w:t>
      </w:r>
      <w:r>
        <w:rPr>
          <w:rFonts w:ascii="Times New Roman" w:hAnsi="Times New Roman"/>
          <w:color w:val="000000"/>
        </w:rPr>
        <w:t xml:space="preserve">Заказчика</w:t>
      </w:r>
      <w:r>
        <w:rPr>
          <w:rFonts w:ascii="Times New Roman" w:hAnsi="Times New Roman"/>
          <w:color w:val="000000"/>
        </w:rPr>
        <w:t xml:space="preserve">, на период с момента возникновения таких нарушений до начала функционирования технически исправной </w:t>
      </w:r>
      <w:r>
        <w:rPr>
          <w:rFonts w:ascii="Times New Roman" w:hAnsi="Times New Roman"/>
          <w:color w:val="000000"/>
        </w:rPr>
        <w:t xml:space="preserve">АСДС</w:t>
      </w:r>
      <w:r>
        <w:rPr>
          <w:rFonts w:ascii="Times New Roman" w:hAnsi="Times New Roman"/>
          <w:color w:val="000000"/>
        </w:rPr>
        <w:t xml:space="preserve">. При этом срок действия и стоимость </w:t>
      </w:r>
      <w:r>
        <w:rPr>
          <w:rFonts w:ascii="Times New Roman" w:hAnsi="Times New Roman"/>
          <w:color w:val="000000"/>
        </w:rPr>
        <w:t xml:space="preserve">планового технического обслуживания </w:t>
      </w:r>
      <w:r>
        <w:rPr>
          <w:rFonts w:ascii="Times New Roman" w:hAnsi="Times New Roman"/>
          <w:color w:val="000000"/>
        </w:rPr>
        <w:t xml:space="preserve">по настояще</w:t>
      </w:r>
      <w:r>
        <w:rPr>
          <w:rFonts w:ascii="Times New Roman" w:hAnsi="Times New Roman"/>
          <w:color w:val="000000"/>
        </w:rPr>
        <w:t xml:space="preserve">му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</w:t>
      </w:r>
      <w:r>
        <w:rPr>
          <w:rFonts w:ascii="Times New Roman" w:hAnsi="Times New Roman"/>
          <w:color w:val="000000"/>
        </w:rPr>
        <w:t xml:space="preserve">оговор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 остаются неизменными.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610" w:leader="none"/>
          <w:tab w:val="left" w:pos="675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Заказчик возлагает на Исполнителя в рамках планового технического обслуживания </w:t>
      </w:r>
      <w:r>
        <w:rPr>
          <w:rFonts w:ascii="Times New Roman" w:hAnsi="Times New Roman"/>
          <w:color w:val="000000"/>
        </w:rPr>
        <w:t xml:space="preserve">АСДС </w:t>
      </w:r>
      <w:r>
        <w:rPr>
          <w:rFonts w:ascii="Times New Roman" w:hAnsi="Times New Roman"/>
          <w:color w:val="000000"/>
        </w:rPr>
        <w:t xml:space="preserve">обязанность по предоставлению данных, полученных в процессе дистанционного снятия показаний приборов учета Заказчика, в энергосбытовую компанию для производства расчетов за потребленную электроэнергию в порядке и сроки, установленные</w:t>
      </w:r>
      <w:r>
        <w:rPr>
          <w:rFonts w:ascii="Times New Roman" w:hAnsi="Times New Roman"/>
          <w:color w:val="000000"/>
          <w:sz w:val="24"/>
          <w:szCs w:val="24"/>
        </w:rPr>
        <w:t xml:space="preserve"> действующим законодательством.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567" w:right="118" w:hanging="567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ПРАВА И ОБЯЗАННОСТИ СТОРОН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8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 xml:space="preserve">Заказчик вправе: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Проверять ход и качество оказываемых Исполнителем услуг.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Получить, по запросу, на свой электронный адрес от Исполнителя </w:t>
      </w:r>
      <w:r>
        <w:rPr>
          <w:rFonts w:ascii="Times New Roman" w:hAnsi="Times New Roman"/>
          <w:color w:val="000000"/>
        </w:rPr>
        <w:t xml:space="preserve">по установленной Исполнителем форме</w:t>
      </w:r>
      <w:r>
        <w:rPr>
          <w:rFonts w:ascii="Times New Roman" w:hAnsi="Times New Roman"/>
          <w:color w:val="000000"/>
        </w:rPr>
        <w:t xml:space="preserve"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не более 1 раза в месяц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ыгрузк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 массива данных о потреблении электроэнергии с использованием АСДС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6" w:right="118" w:hanging="81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8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Заказчик обязан:</w:t>
      </w: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Обеспечить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Исполнител</w:t>
      </w:r>
      <w:r>
        <w:rPr>
          <w:rFonts w:ascii="Times New Roman" w:hAnsi="Times New Roman"/>
          <w:color w:val="000000"/>
        </w:rPr>
        <w:t xml:space="preserve">ю,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а также представителям третьих лиц, привлеченных Исполнителем к оказанию услуг по настоящему Договору, допуск на указанный в Приложении № 1 Объект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Представить Исполнителю документы, необходимые для оказания услуг. 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Оплатить услуги в размере, в сроки и в порядке, установленн</w:t>
      </w:r>
      <w:r>
        <w:rPr>
          <w:rFonts w:ascii="Times New Roman" w:hAnsi="Times New Roman"/>
          <w:color w:val="000000"/>
        </w:rPr>
        <w:t xml:space="preserve">ыми</w:t>
      </w:r>
      <w:r>
        <w:rPr>
          <w:rFonts w:ascii="Times New Roman" w:hAnsi="Times New Roman"/>
          <w:color w:val="000000"/>
        </w:rPr>
        <w:t xml:space="preserve"> настоящим Договором.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Принять оказанны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 услуг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 в порядке и в сроки, установленные настоящим Договором.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5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</w:p>
    <w:p>
      <w:pPr>
        <w:numPr>
          <w:ilvl w:val="1"/>
          <w:numId w:val="8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Исполнитель обязан:</w:t>
      </w: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Оказывать услуги в соответствии с условиями настоящего Договора.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 запросу Заказчика </w:t>
      </w:r>
      <w:r>
        <w:rPr>
          <w:rFonts w:ascii="Times New Roman" w:hAnsi="Times New Roman"/>
          <w:color w:val="000000"/>
        </w:rPr>
        <w:t xml:space="preserve">направить на его электронный адрес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ыгрузк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 массива данных о потреблении электроэнергии с использованием АСДС, но не более 1 раза в месяц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6" w:hanging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8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Исполнитель вправе:</w:t>
      </w: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Не приступать к оказанию услуг, а начатое оказание услуг приостановить в случае неисполнения Заказчиком п.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2.2.1 и п.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2.2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 xml:space="preserve">3</w:t>
      </w:r>
      <w:r>
        <w:rPr>
          <w:rFonts w:ascii="Times New Roman" w:hAnsi="Times New Roman"/>
          <w:color w:val="000000"/>
        </w:rPr>
        <w:t xml:space="preserve"> Договора.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818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</w:t>
      </w:r>
      <w:r>
        <w:rPr>
          <w:rFonts w:ascii="Times New Roman" w:hAnsi="Times New Roman"/>
          <w:color w:val="000000"/>
        </w:rPr>
        <w:t xml:space="preserve">неисполнения Заказчиком п.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2.2.1 и п.</w:t>
      </w:r>
      <w:r>
        <w:rPr>
          <w:rFonts w:ascii="Times New Roman" w:hAnsi="Times New Roman"/>
          <w:color w:val="000000"/>
        </w:rPr>
        <w:t xml:space="preserve"> 2.2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 xml:space="preserve">3</w:t>
      </w:r>
      <w:r>
        <w:rPr>
          <w:rFonts w:ascii="Times New Roman" w:hAnsi="Times New Roman"/>
          <w:color w:val="000000"/>
        </w:rPr>
        <w:t xml:space="preserve"> Договора</w:t>
      </w:r>
      <w:r>
        <w:rPr>
          <w:rFonts w:ascii="Times New Roman" w:hAnsi="Times New Roman"/>
          <w:color w:val="000000"/>
        </w:rPr>
        <w:t xml:space="preserve">, н</w:t>
      </w:r>
      <w:r>
        <w:rPr>
          <w:rFonts w:ascii="Times New Roman" w:hAnsi="Times New Roman"/>
          <w:color w:val="000000"/>
        </w:rPr>
        <w:t xml:space="preserve">е приступать к оказанию услуг, а начатое оказание услуг приостановить</w:t>
      </w:r>
      <w:r>
        <w:rPr>
          <w:rFonts w:ascii="Times New Roman" w:hAnsi="Times New Roman"/>
          <w:color w:val="000000"/>
        </w:rPr>
        <w:t xml:space="preserve"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 то</w:t>
      </w:r>
      <w:r>
        <w:rPr>
          <w:rFonts w:ascii="Times New Roman" w:hAnsi="Times New Roman"/>
          <w:color w:val="000000"/>
        </w:rPr>
        <w:t xml:space="preserve">м числе предоставление данных, полученных в процессе дистанционного снятия показаний приборов учета Заказчика, в энергосбытовую компанию для производства расчетов за потребленную электроэнергию, до полного исполнения Заказчиком своих обязательств по оплате</w:t>
      </w:r>
      <w:r>
        <w:rPr>
          <w:rFonts w:ascii="Times New Roman" w:hAnsi="Times New Roman"/>
          <w:color w:val="000000"/>
        </w:rPr>
        <w:t xml:space="preserve">. Возобновить обслуживание </w:t>
      </w:r>
      <w:r>
        <w:rPr>
          <w:rFonts w:ascii="Times New Roman" w:hAnsi="Times New Roman"/>
          <w:color w:val="000000"/>
        </w:rPr>
        <w:t xml:space="preserve">в рамках Договора будет возможно с начала месяца, следующего за месяцем, в котором поступит оплата.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818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СТОИМОСТЬ УСЛУГ И ПОРЯДОК ИХ ОПЛАТЫ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Общая сумма Договора складывается из стоимости всех оказанных Исполнителем услуг по</w:t>
      </w:r>
      <w:r>
        <w:rPr>
          <w:rFonts w:ascii="Times New Roman" w:hAnsi="Times New Roman"/>
          <w:color w:val="000000"/>
        </w:rPr>
        <w:t xml:space="preserve"> </w:t>
      </w:r>
      <w:r>
        <w:rPr>
          <w:rFonts w:ascii="Times New Roman" w:hAnsi="Times New Roman"/>
          <w:color w:val="000000"/>
        </w:rPr>
        <w:t xml:space="preserve">плановому техническому обслуживанию АСДС в период действия Договора.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Стоимость услуг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устанавливает</w:t>
      </w:r>
      <w:r>
        <w:rPr>
          <w:rFonts w:ascii="Times New Roman" w:hAnsi="Times New Roman"/>
          <w:color w:val="000000"/>
        </w:rPr>
        <w:t xml:space="preserve">ся в Приложении № 1 к Договору.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Стоимость услуг может быть изменена Исполнителем в одностороннем порядке в порядке, предусмотренном настоящим Договором.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Расчеты за плановое техническое обслуживание АСДС по настоящему Договору производятся за каждый период обслуживания в размере 100% стоимости услуг </w:t>
      </w:r>
      <w:r>
        <w:rPr>
          <w:rFonts w:ascii="Times New Roman" w:hAnsi="Times New Roman"/>
          <w:color w:val="000000"/>
        </w:rPr>
        <w:t xml:space="preserve">за период обслуживания, указанн</w:t>
      </w:r>
      <w:r>
        <w:rPr>
          <w:rFonts w:ascii="Times New Roman" w:hAnsi="Times New Roman"/>
          <w:color w:val="000000"/>
        </w:rPr>
        <w:t xml:space="preserve">ой</w:t>
      </w:r>
      <w:r>
        <w:rPr>
          <w:rFonts w:ascii="Times New Roman" w:hAnsi="Times New Roman"/>
          <w:color w:val="000000"/>
        </w:rPr>
        <w:t xml:space="preserve"> в </w:t>
      </w:r>
      <w:r>
        <w:rPr>
          <w:rFonts w:ascii="Times New Roman" w:hAnsi="Times New Roman"/>
          <w:color w:val="000000"/>
        </w:rPr>
        <w:t xml:space="preserve">п. </w:t>
      </w:r>
      <w:r>
        <w:rPr>
          <w:rFonts w:ascii="Times New Roman" w:hAnsi="Times New Roman"/>
          <w:color w:val="000000"/>
        </w:rPr>
        <w:t xml:space="preserve">3.2</w:t>
      </w:r>
      <w:r>
        <w:rPr>
          <w:rFonts w:ascii="Times New Roman" w:hAnsi="Times New Roman"/>
          <w:color w:val="000000"/>
        </w:rPr>
        <w:t xml:space="preserve"> Договор</w:t>
      </w:r>
      <w:r>
        <w:rPr>
          <w:rFonts w:ascii="Times New Roman" w:hAnsi="Times New Roman"/>
          <w:color w:val="000000"/>
        </w:rPr>
        <w:t xml:space="preserve">а, путем перечисления денежных средств на расчетный счет Исполнителя, указанный в разделе 12 Договора, в следующем порядке.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 xml:space="preserve">За первый период обслуживания – в течение 5</w:t>
      </w:r>
      <w:r>
        <w:rPr>
          <w:rFonts w:ascii="Times New Roman" w:hAnsi="Times New Roman"/>
          <w:color w:val="000000"/>
          <w:highlight w:val="white"/>
        </w:rPr>
        <w:t xml:space="preserve"> (</w:t>
      </w:r>
      <w:r>
        <w:rPr>
          <w:rFonts w:ascii="Times New Roman" w:hAnsi="Times New Roman"/>
          <w:color w:val="000000"/>
          <w:highlight w:val="white"/>
        </w:rPr>
        <w:t xml:space="preserve">п</w:t>
      </w:r>
      <w:r>
        <w:rPr>
          <w:rFonts w:ascii="Times New Roman" w:hAnsi="Times New Roman"/>
          <w:color w:val="000000"/>
          <w:highlight w:val="white"/>
        </w:rPr>
        <w:t xml:space="preserve">я</w:t>
      </w:r>
      <w:r>
        <w:rPr>
          <w:rFonts w:ascii="Times New Roman" w:hAnsi="Times New Roman"/>
          <w:color w:val="000000"/>
          <w:highlight w:val="white"/>
        </w:rPr>
        <w:t xml:space="preserve">т</w:t>
      </w:r>
      <w:r>
        <w:rPr>
          <w:rFonts w:ascii="Times New Roman" w:hAnsi="Times New Roman"/>
          <w:color w:val="000000"/>
          <w:highlight w:val="white"/>
        </w:rPr>
        <w:t xml:space="preserve">и</w:t>
      </w:r>
      <w:r>
        <w:rPr>
          <w:rFonts w:ascii="Times New Roman" w:hAnsi="Times New Roman"/>
          <w:color w:val="000000"/>
          <w:highlight w:val="white"/>
        </w:rPr>
        <w:t xml:space="preserve">) рабочих дней </w:t>
      </w:r>
      <w:r>
        <w:rPr>
          <w:rFonts w:ascii="Times New Roman" w:hAnsi="Times New Roman"/>
          <w:color w:val="000000"/>
          <w:highlight w:val="white"/>
        </w:rPr>
        <w:t xml:space="preserve">после подписания Сторонами настоящего Договора и выставления </w:t>
      </w:r>
      <w:r>
        <w:rPr>
          <w:rFonts w:ascii="Times New Roman" w:hAnsi="Times New Roman"/>
          <w:color w:val="000000"/>
          <w:highlight w:val="white"/>
        </w:rPr>
        <w:t xml:space="preserve">Исполнителе</w:t>
      </w:r>
      <w:r>
        <w:rPr>
          <w:rFonts w:ascii="Times New Roman" w:hAnsi="Times New Roman"/>
          <w:color w:val="000000"/>
          <w:highlight w:val="white"/>
        </w:rPr>
        <w:t xml:space="preserve">м соответствующего счета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ind w:left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 xml:space="preserve">Каждый следующий период обслуживания – не позднее </w:t>
      </w:r>
      <w:r>
        <w:rPr>
          <w:rFonts w:ascii="Times New Roman" w:hAnsi="Times New Roman"/>
          <w:color w:val="000000"/>
          <w:highlight w:val="white"/>
        </w:rPr>
        <w:t xml:space="preserve">5</w:t>
      </w:r>
      <w:r>
        <w:rPr>
          <w:rFonts w:ascii="Times New Roman" w:hAnsi="Times New Roman"/>
          <w:color w:val="000000"/>
          <w:highlight w:val="white"/>
        </w:rPr>
        <w:t xml:space="preserve"> (</w:t>
      </w:r>
      <w:r>
        <w:rPr>
          <w:rFonts w:ascii="Times New Roman" w:hAnsi="Times New Roman"/>
          <w:color w:val="000000"/>
          <w:highlight w:val="white"/>
        </w:rPr>
        <w:t xml:space="preserve">п</w:t>
      </w:r>
      <w:r>
        <w:rPr>
          <w:rFonts w:ascii="Times New Roman" w:hAnsi="Times New Roman"/>
          <w:color w:val="000000"/>
          <w:highlight w:val="white"/>
        </w:rPr>
        <w:t xml:space="preserve">я</w:t>
      </w:r>
      <w:r>
        <w:rPr>
          <w:rFonts w:ascii="Times New Roman" w:hAnsi="Times New Roman"/>
          <w:color w:val="000000"/>
          <w:highlight w:val="white"/>
        </w:rPr>
        <w:t xml:space="preserve">т</w:t>
      </w:r>
      <w:r>
        <w:rPr>
          <w:rFonts w:ascii="Times New Roman" w:hAnsi="Times New Roman"/>
          <w:color w:val="000000"/>
          <w:highlight w:val="white"/>
        </w:rPr>
        <w:t xml:space="preserve">и</w:t>
      </w:r>
      <w:r>
        <w:rPr>
          <w:rFonts w:ascii="Times New Roman" w:hAnsi="Times New Roman"/>
          <w:color w:val="000000"/>
          <w:highlight w:val="white"/>
        </w:rPr>
        <w:t xml:space="preserve">)</w:t>
      </w:r>
      <w:r>
        <w:rPr>
          <w:rFonts w:ascii="Times New Roman" w:hAnsi="Times New Roman"/>
          <w:color w:val="000000"/>
          <w:highlight w:val="white"/>
        </w:rPr>
        <w:t xml:space="preserve">рабочих дней до начала периода обслуживания на основании </w:t>
      </w:r>
      <w:r>
        <w:rPr>
          <w:rFonts w:ascii="Times New Roman" w:hAnsi="Times New Roman"/>
          <w:color w:val="000000"/>
          <w:highlight w:val="white"/>
        </w:rPr>
        <w:t xml:space="preserve">выставлен</w:t>
      </w:r>
      <w:r>
        <w:rPr>
          <w:rFonts w:ascii="Times New Roman" w:hAnsi="Times New Roman"/>
          <w:color w:val="000000"/>
          <w:highlight w:val="white"/>
        </w:rPr>
        <w:t xml:space="preserve">ного</w:t>
      </w:r>
      <w:r>
        <w:rPr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 xml:space="preserve">Исполнителе</w:t>
      </w:r>
      <w:r>
        <w:rPr>
          <w:rFonts w:ascii="Times New Roman" w:hAnsi="Times New Roman"/>
          <w:color w:val="000000"/>
          <w:highlight w:val="white"/>
        </w:rPr>
        <w:t xml:space="preserve">м соответствую</w:t>
      </w:r>
      <w:r>
        <w:rPr>
          <w:rFonts w:ascii="Times New Roman" w:hAnsi="Times New Roman"/>
          <w:color w:val="000000"/>
        </w:rPr>
        <w:t xml:space="preserve">щего счета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прямо соглашаются, что в</w:t>
      </w:r>
      <w:r>
        <w:rPr>
          <w:rFonts w:ascii="Times New Roman" w:hAnsi="Times New Roman"/>
          <w:color w:val="000000"/>
        </w:rPr>
        <w:t xml:space="preserve"> случае непоступления оплаты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на расчетный счет Исполнителя в сроки, указанные в п. 3.</w:t>
      </w:r>
      <w:r>
        <w:rPr>
          <w:rFonts w:ascii="Times New Roman" w:hAnsi="Times New Roman"/>
          <w:color w:val="000000"/>
        </w:rPr>
        <w:t xml:space="preserve">3</w:t>
      </w:r>
      <w:r>
        <w:rPr>
          <w:rFonts w:ascii="Times New Roman" w:hAnsi="Times New Roman"/>
          <w:color w:val="000000"/>
        </w:rPr>
        <w:t xml:space="preserve"> Договора, </w:t>
      </w:r>
      <w:r>
        <w:rPr>
          <w:rFonts w:ascii="Times New Roman" w:hAnsi="Times New Roman"/>
          <w:color w:val="000000"/>
        </w:rPr>
        <w:t xml:space="preserve">или поступления оплаты не в полном объеме </w:t>
      </w:r>
      <w:r>
        <w:rPr>
          <w:rFonts w:ascii="Times New Roman" w:hAnsi="Times New Roman"/>
          <w:color w:val="000000"/>
        </w:rPr>
        <w:t xml:space="preserve">Исполнитель приостанавливает исполнение обязательств по настоящему Договору в соответствии с п. 2.4.1 Договора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Дн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м осуществления платежа считается дата поступления денежных средств на расчетный счёт Исполнителя</w:t>
      </w:r>
      <w:r>
        <w:rPr>
          <w:rFonts w:ascii="Times New Roman" w:hAnsi="Times New Roman"/>
          <w:color w:val="000000"/>
        </w:rPr>
        <w:t xml:space="preserve">, указанный в разделе 12 Договора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получении сумм оплаты, частичной оплаты в счет предстоящего оказания 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слуг Исполнитель выставляет соответствующие счета-фактуры </w:t>
      </w:r>
      <w:r>
        <w:rPr>
          <w:rFonts w:ascii="Times New Roman" w:hAnsi="Times New Roman"/>
          <w:color w:val="000000"/>
        </w:rPr>
        <w:t xml:space="preserve">согласно п.3 ст.168 Налогового кодекса РФ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 обязуется подписать акт сверки расчетов в течение 10 (десяти) календарных дне</w:t>
      </w:r>
      <w:r>
        <w:rPr>
          <w:rFonts w:ascii="Times New Roman" w:hAnsi="Times New Roman"/>
          <w:color w:val="000000"/>
        </w:rPr>
        <w:t xml:space="preserve">й с момента его получения от Исполнителя. В случае если в течение 10 (десяти) календарных дней с момента получения акта сверки Заказчик не подпишет его и не предоставит Исполнителю мотивированные предложения по нему, акт считается согласованным Заказчиком.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прямо соглашаются, что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стоимость услуг, оказываемых по настоящему Договору, </w:t>
      </w:r>
      <w:r>
        <w:rPr>
          <w:rFonts w:ascii="Times New Roman" w:hAnsi="Times New Roman"/>
          <w:color w:val="000000"/>
        </w:rPr>
        <w:t xml:space="preserve">может быть изменена</w:t>
      </w:r>
      <w:r>
        <w:rPr>
          <w:rFonts w:ascii="Times New Roman" w:hAnsi="Times New Roman"/>
          <w:color w:val="000000"/>
        </w:rPr>
        <w:t xml:space="preserve"> Исполнителем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</w:t>
      </w:r>
      <w:r>
        <w:rPr>
          <w:rFonts w:ascii="Times New Roman" w:hAnsi="Times New Roman"/>
          <w:color w:val="000000"/>
        </w:rPr>
        <w:t xml:space="preserve"> </w:t>
      </w:r>
      <w:r>
        <w:rPr>
          <w:rFonts w:ascii="Times New Roman" w:hAnsi="Times New Roman"/>
          <w:color w:val="000000"/>
        </w:rPr>
        <w:t xml:space="preserve">одностороннем порядке</w:t>
      </w:r>
      <w:r>
        <w:rPr>
          <w:rFonts w:ascii="Times New Roman" w:hAnsi="Times New Roman"/>
          <w:color w:val="000000"/>
        </w:rPr>
        <w:t xml:space="preserve"> без внесения изменений в Приложение № 1 к Договору в письменном виде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 изменении </w:t>
      </w:r>
      <w:r>
        <w:rPr>
          <w:rFonts w:ascii="Times New Roman" w:hAnsi="Times New Roman"/>
          <w:color w:val="000000"/>
        </w:rPr>
        <w:t xml:space="preserve">цены услуг</w:t>
      </w:r>
      <w:r>
        <w:rPr>
          <w:rFonts w:ascii="Times New Roman" w:hAnsi="Times New Roman"/>
          <w:color w:val="000000"/>
        </w:rPr>
        <w:t xml:space="preserve"> Исполнитель уведомляет Заказчика путем направления Заказчику соответствующего письменного уведомления не позднее, чем за </w:t>
      </w:r>
      <w:r>
        <w:rPr>
          <w:rFonts w:ascii="Times New Roman" w:hAnsi="Times New Roman"/>
          <w:color w:val="000000"/>
        </w:rPr>
        <w:t xml:space="preserve">30 (тридцать) календарных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  <w:t xml:space="preserve">дней до начала периода обслуживания, стоимость оказания услуг в котором изменится.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Оплачивая выставленный Исполнителем счет на оплату за со</w:t>
      </w:r>
      <w:r>
        <w:rPr>
          <w:rFonts w:ascii="Times New Roman" w:hAnsi="Times New Roman"/>
          <w:color w:val="000000"/>
        </w:rPr>
        <w:t xml:space="preserve">ответствующий отчетный период с </w:t>
      </w:r>
      <w:r>
        <w:rPr>
          <w:rFonts w:ascii="Times New Roman" w:hAnsi="Times New Roman"/>
          <w:color w:val="000000"/>
        </w:rPr>
        <w:t xml:space="preserve">измененной ценой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размере 100% стоимости услуг </w:t>
      </w:r>
      <w:r>
        <w:rPr>
          <w:rFonts w:ascii="Times New Roman" w:hAnsi="Times New Roman"/>
          <w:color w:val="000000"/>
        </w:rPr>
        <w:t xml:space="preserve">за период обслуживания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Заказчик соглашается с новой стоимостью оказания.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случае, если в установленный </w:t>
      </w:r>
      <w:r>
        <w:rPr>
          <w:rFonts w:ascii="Times New Roman" w:hAnsi="Times New Roman"/>
          <w:color w:val="000000"/>
        </w:rPr>
        <w:t xml:space="preserve">Д</w:t>
      </w:r>
      <w:r>
        <w:rPr>
          <w:rFonts w:ascii="Times New Roman" w:hAnsi="Times New Roman"/>
          <w:color w:val="000000"/>
        </w:rPr>
        <w:t xml:space="preserve">оговором с</w:t>
      </w:r>
      <w:bookmarkStart w:id="0" w:name="_GoBack"/>
      <w:r/>
      <w:bookmarkEnd w:id="0"/>
      <w:r>
        <w:rPr>
          <w:rFonts w:ascii="Times New Roman" w:hAnsi="Times New Roman"/>
          <w:color w:val="000000"/>
        </w:rPr>
        <w:t xml:space="preserve">рок Заказчик</w:t>
      </w:r>
      <w:r>
        <w:rPr>
          <w:rFonts w:ascii="Times New Roman" w:hAnsi="Times New Roman"/>
          <w:color w:val="000000"/>
        </w:rPr>
        <w:t xml:space="preserve"> не осуществляет оплату или</w:t>
      </w:r>
      <w:r>
        <w:rPr>
          <w:rFonts w:ascii="Times New Roman" w:hAnsi="Times New Roman"/>
          <w:color w:val="000000"/>
        </w:rPr>
        <w:t xml:space="preserve"> ос</w:t>
      </w:r>
      <w:r>
        <w:rPr>
          <w:rFonts w:ascii="Times New Roman" w:hAnsi="Times New Roman"/>
          <w:color w:val="000000"/>
        </w:rPr>
        <w:t xml:space="preserve">уществляет оплату в размере, не </w:t>
      </w:r>
      <w:r>
        <w:rPr>
          <w:rFonts w:ascii="Times New Roman" w:hAnsi="Times New Roman"/>
          <w:color w:val="000000"/>
        </w:rPr>
        <w:t xml:space="preserve">соответствующем новой цене, указанной в уведомлении (в том числе производит оплату по стоимости, действовавшей до изменения), такое действие признается отказом Заказчика от соглашения об изменении стоимости услуг.</w:t>
      </w:r>
      <w:r>
        <w:rPr>
          <w:rFonts w:ascii="Times New Roman" w:hAnsi="Times New Roman"/>
          <w:color w:val="000000"/>
        </w:rPr>
        <w:t xml:space="preserve"> В этом случае </w:t>
      </w:r>
      <w:r>
        <w:rPr>
          <w:rFonts w:ascii="Times New Roman" w:hAnsi="Times New Roman"/>
          <w:color w:val="000000"/>
        </w:rPr>
        <w:t xml:space="preserve">Исполнитель приостанавливает исполнение обязательств по настоящему Договору в соответствии с п. 2.4.1 Договора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случае, если Исполнитель приостановил</w:t>
      </w:r>
      <w:r>
        <w:rPr>
          <w:rFonts w:ascii="Times New Roman" w:hAnsi="Times New Roman"/>
          <w:color w:val="000000"/>
        </w:rPr>
        <w:t xml:space="preserve"> исполнение обязательств по настоящему Договору</w:t>
      </w:r>
      <w:r>
        <w:rPr>
          <w:rFonts w:ascii="Times New Roman" w:hAnsi="Times New Roman"/>
          <w:color w:val="000000"/>
        </w:rPr>
        <w:t xml:space="preserve"> в </w:t>
      </w:r>
      <w:r>
        <w:rPr>
          <w:rFonts w:ascii="Times New Roman" w:hAnsi="Times New Roman"/>
          <w:color w:val="000000"/>
        </w:rPr>
        <w:t xml:space="preserve">соответствии с п. 2.4.1 Договора</w:t>
      </w:r>
      <w:r>
        <w:rPr>
          <w:rFonts w:ascii="Times New Roman" w:hAnsi="Times New Roman"/>
          <w:color w:val="000000"/>
        </w:rPr>
        <w:t xml:space="preserve"> по причине невнесения Заказчиком 100% стоимости услуг за </w:t>
      </w:r>
      <w:r>
        <w:rPr>
          <w:rFonts w:ascii="Times New Roman" w:hAnsi="Times New Roman"/>
          <w:color w:val="000000"/>
        </w:rPr>
        <w:t xml:space="preserve">период обслуживания</w:t>
      </w:r>
      <w:r>
        <w:rPr>
          <w:rFonts w:ascii="Times New Roman" w:hAnsi="Times New Roman"/>
          <w:color w:val="000000"/>
        </w:rPr>
        <w:t xml:space="preserve">, Заказчик </w:t>
      </w:r>
      <w:r>
        <w:rPr>
          <w:rFonts w:ascii="Times New Roman" w:hAnsi="Times New Roman"/>
          <w:color w:val="000000"/>
        </w:rPr>
        <w:t xml:space="preserve">вправе потребовать возврат</w:t>
      </w:r>
      <w:r>
        <w:rPr>
          <w:rFonts w:ascii="Times New Roman" w:hAnsi="Times New Roman"/>
          <w:color w:val="000000"/>
        </w:rPr>
        <w:t xml:space="preserve">а денежных средств, внесенных в </w:t>
      </w:r>
      <w:r>
        <w:rPr>
          <w:rFonts w:ascii="Times New Roman" w:hAnsi="Times New Roman"/>
          <w:color w:val="000000"/>
        </w:rPr>
        <w:t xml:space="preserve">счет предстоящего периода обслуживания</w:t>
      </w:r>
      <w:r>
        <w:rPr>
          <w:rFonts w:ascii="Times New Roman" w:hAnsi="Times New Roman"/>
          <w:color w:val="000000"/>
        </w:rPr>
        <w:t xml:space="preserve"> не в полном объеме.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Возврат указанной суммы осуществляется Исполнителем в течение 10 (десяти) рабочих дней с даты получения соответствующего письменного требования Заказчика.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СДАЧА-ПРИЕМКА ОКАЗАННЫХ </w:t>
      </w:r>
      <w:r>
        <w:rPr>
          <w:rFonts w:ascii="Times New Roman" w:hAnsi="Times New Roman"/>
          <w:b/>
          <w:bCs/>
          <w:color w:val="000000"/>
        </w:rPr>
        <w:t xml:space="preserve">УСЛУГ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ind w:left="709" w:hanging="666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  <w:tab w:val="left" w:pos="817" w:leader="none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color w:val="000000"/>
        </w:rPr>
        <w:t xml:space="preserve">Исполнитель по окончании </w:t>
      </w:r>
      <w:r>
        <w:rPr>
          <w:rFonts w:ascii="Times New Roman" w:hAnsi="Times New Roman"/>
          <w:color w:val="000000"/>
        </w:rPr>
        <w:t xml:space="preserve">периода обслуживания </w:t>
      </w:r>
      <w:r>
        <w:rPr>
          <w:rFonts w:ascii="Times New Roman" w:hAnsi="Times New Roman"/>
          <w:lang w:eastAsia="en-US"/>
        </w:rPr>
        <w:t xml:space="preserve">представляет Заказчику Акт об оказании услуг п</w:t>
      </w:r>
      <w:r>
        <w:rPr>
          <w:rFonts w:ascii="Times New Roman" w:hAnsi="Times New Roman"/>
          <w:highlight w:val="white"/>
          <w:lang w:eastAsia="en-US"/>
        </w:rPr>
        <w:t xml:space="preserve">о форме Исполнителя (2 </w:t>
      </w:r>
      <w:r>
        <w:rPr>
          <w:rFonts w:ascii="Times New Roman" w:hAnsi="Times New Roman"/>
          <w:highlight w:val="white"/>
          <w:lang w:eastAsia="en-US"/>
        </w:rPr>
        <w:t xml:space="preserve">(два) </w:t>
      </w:r>
      <w:r>
        <w:rPr>
          <w:rFonts w:ascii="Times New Roman" w:hAnsi="Times New Roman"/>
          <w:highlight w:val="white"/>
          <w:lang w:eastAsia="en-US"/>
        </w:rPr>
        <w:t xml:space="preserve">экземпляра)</w:t>
      </w:r>
      <w:r>
        <w:rPr>
          <w:rFonts w:ascii="Times New Roman" w:hAnsi="Times New Roman"/>
          <w:highlight w:val="white"/>
          <w:lang w:eastAsia="en-US"/>
        </w:rPr>
        <w:t xml:space="preserve"> и</w:t>
      </w:r>
      <w:r>
        <w:rPr>
          <w:rFonts w:ascii="Times New Roman" w:hAnsi="Times New Roman"/>
          <w:highlight w:val="white"/>
          <w:lang w:eastAsia="en-US"/>
        </w:rPr>
        <w:t xml:space="preserve"> счет-фактуру (1</w:t>
      </w:r>
      <w:r>
        <w:rPr>
          <w:rFonts w:ascii="Times New Roman" w:hAnsi="Times New Roman"/>
          <w:highlight w:val="white"/>
          <w:lang w:eastAsia="en-US"/>
        </w:rPr>
        <w:t xml:space="preserve"> (один)</w:t>
      </w:r>
      <w:r>
        <w:rPr>
          <w:rFonts w:ascii="Times New Roman" w:hAnsi="Times New Roman"/>
          <w:highlight w:val="white"/>
          <w:lang w:eastAsia="en-US"/>
        </w:rPr>
        <w:t xml:space="preserve"> экземпляр) и</w:t>
      </w:r>
      <w:r>
        <w:rPr>
          <w:rFonts w:ascii="Times New Roman" w:hAnsi="Times New Roman"/>
          <w:highlight w:val="white"/>
          <w:lang w:eastAsia="en-US"/>
        </w:rPr>
        <w:t xml:space="preserve">ли Универсальный передаточный документ (УПД) (2 экз.)</w:t>
      </w:r>
      <w:r>
        <w:rPr>
          <w:rFonts w:ascii="Times New Roman" w:hAnsi="Times New Roman"/>
          <w:highlight w:val="white"/>
          <w:lang w:eastAsia="en-US"/>
        </w:rPr>
        <w:t xml:space="preserve">, оформле</w:t>
      </w:r>
      <w:r>
        <w:rPr>
          <w:rFonts w:ascii="Times New Roman" w:hAnsi="Times New Roman"/>
          <w:lang w:eastAsia="en-US"/>
        </w:rPr>
        <w:t xml:space="preserve">нные в соответствии с требованиями законодательства РФ.</w:t>
      </w:r>
      <w:r>
        <w:rPr>
          <w:rFonts w:ascii="Times New Roman" w:hAnsi="Times New Roman"/>
          <w:lang w:eastAsia="en-US"/>
        </w:rPr>
        <w:t xml:space="preserve"> Датой Акта является последний рабочий день периода</w:t>
      </w:r>
      <w:r>
        <w:rPr>
          <w:rFonts w:ascii="Times New Roman" w:hAnsi="Times New Roman"/>
          <w:lang w:eastAsia="en-US"/>
        </w:rPr>
        <w:t xml:space="preserve"> обслуживания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numPr>
          <w:ilvl w:val="1"/>
          <w:numId w:val="11"/>
        </w:numPr>
        <w:ind w:left="709" w:hanging="666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  <w:tab w:val="left" w:pos="817" w:leader="none"/>
        </w:tabs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 xml:space="preserve">З</w:t>
      </w:r>
      <w:r>
        <w:rPr>
          <w:rFonts w:ascii="Times New Roman" w:hAnsi="Times New Roman"/>
          <w:color w:val="000000"/>
        </w:rPr>
        <w:t xml:space="preserve">ак</w:t>
      </w:r>
      <w:r>
        <w:rPr>
          <w:rFonts w:ascii="Times New Roman" w:hAnsi="Times New Roman"/>
          <w:color w:val="000000"/>
          <w:highlight w:val="white"/>
        </w:rPr>
        <w:t xml:space="preserve">азчик обязан в течение </w:t>
      </w:r>
      <w:r>
        <w:rPr>
          <w:rFonts w:ascii="Times New Roman" w:hAnsi="Times New Roman"/>
          <w:color w:val="000000"/>
          <w:highlight w:val="white"/>
        </w:rPr>
        <w:t xml:space="preserve">5</w:t>
      </w:r>
      <w:r>
        <w:rPr>
          <w:rFonts w:ascii="Times New Roman" w:hAnsi="Times New Roman"/>
          <w:color w:val="000000"/>
          <w:highlight w:val="white"/>
        </w:rPr>
        <w:t xml:space="preserve"> (пяти</w:t>
      </w:r>
      <w:r>
        <w:rPr>
          <w:rFonts w:ascii="Times New Roman" w:hAnsi="Times New Roman"/>
          <w:color w:val="000000"/>
          <w:highlight w:val="white"/>
        </w:rPr>
        <w:t xml:space="preserve">)</w:t>
      </w:r>
      <w:r>
        <w:rPr>
          <w:rFonts w:ascii="Times New Roman" w:hAnsi="Times New Roman"/>
          <w:color w:val="000000"/>
          <w:highlight w:val="white"/>
        </w:rPr>
        <w:t xml:space="preserve"> рабочих дней с момента получения документов, указанных в п. </w:t>
      </w:r>
      <w:r>
        <w:rPr>
          <w:rFonts w:ascii="Times New Roman" w:hAnsi="Times New Roman"/>
          <w:color w:val="000000"/>
          <w:highlight w:val="white"/>
        </w:rPr>
        <w:t xml:space="preserve">4.1</w:t>
      </w:r>
      <w:r>
        <w:rPr>
          <w:rFonts w:ascii="Times New Roman" w:hAnsi="Times New Roman"/>
          <w:color w:val="000000"/>
          <w:highlight w:val="white"/>
        </w:rPr>
        <w:t xml:space="preserve"> Договора, принять оказанные </w:t>
      </w:r>
      <w:r>
        <w:rPr>
          <w:rFonts w:ascii="Times New Roman" w:hAnsi="Times New Roman"/>
          <w:color w:val="000000"/>
          <w:highlight w:val="white"/>
        </w:rPr>
        <w:t xml:space="preserve">у</w:t>
      </w:r>
      <w:r>
        <w:rPr>
          <w:rFonts w:ascii="Times New Roman" w:hAnsi="Times New Roman"/>
          <w:color w:val="000000"/>
          <w:highlight w:val="white"/>
        </w:rPr>
        <w:t xml:space="preserve">слуги, подписать и вернуть Исполнителю 1</w:t>
      </w:r>
      <w:r>
        <w:rPr>
          <w:rFonts w:ascii="Times New Roman" w:hAnsi="Times New Roman"/>
          <w:color w:val="000000"/>
          <w:highlight w:val="white"/>
        </w:rPr>
        <w:t xml:space="preserve"> (один)</w:t>
      </w:r>
      <w:r>
        <w:rPr>
          <w:rFonts w:ascii="Times New Roman" w:hAnsi="Times New Roman"/>
          <w:color w:val="000000"/>
          <w:highlight w:val="white"/>
        </w:rPr>
        <w:t xml:space="preserve"> экземпляр Акта об оказании услуг/</w:t>
      </w:r>
      <w:r>
        <w:rPr>
          <w:rFonts w:ascii="Times New Roman" w:hAnsi="Times New Roman"/>
          <w:color w:val="000000"/>
          <w:highlight w:val="white"/>
        </w:rPr>
        <w:t xml:space="preserve">УПД</w:t>
      </w:r>
      <w:r>
        <w:rPr>
          <w:rFonts w:ascii="Times New Roman" w:hAnsi="Times New Roman"/>
          <w:color w:val="000000"/>
          <w:highlight w:val="white"/>
        </w:rPr>
        <w:t xml:space="preserve"> или направить Исполнителю мотивированный отказ от подписания Акта об оказании услуг/</w:t>
      </w:r>
      <w:r>
        <w:rPr>
          <w:rFonts w:ascii="Times New Roman" w:hAnsi="Times New Roman"/>
          <w:color w:val="000000"/>
          <w:highlight w:val="white"/>
        </w:rPr>
        <w:t xml:space="preserve">УПД</w:t>
      </w:r>
      <w:r>
        <w:rPr>
          <w:rFonts w:ascii="Times New Roman" w:hAnsi="Times New Roman"/>
          <w:color w:val="000000"/>
          <w:highlight w:val="white"/>
        </w:rPr>
        <w:t xml:space="preserve">. В случае непредоставления мотивированного отказа и неподписания Акта об оказании услуг</w:t>
      </w:r>
      <w:r>
        <w:rPr>
          <w:rFonts w:ascii="Times New Roman" w:hAnsi="Times New Roman"/>
          <w:color w:val="000000"/>
          <w:highlight w:val="white"/>
        </w:rPr>
        <w:t xml:space="preserve">/</w:t>
      </w:r>
      <w:r>
        <w:rPr>
          <w:rFonts w:ascii="Times New Roman" w:hAnsi="Times New Roman"/>
          <w:color w:val="000000"/>
          <w:highlight w:val="white"/>
        </w:rPr>
        <w:t xml:space="preserve">УПД</w:t>
      </w:r>
      <w:r>
        <w:rPr>
          <w:rFonts w:ascii="Times New Roman" w:hAnsi="Times New Roman"/>
          <w:color w:val="000000"/>
          <w:highlight w:val="white"/>
        </w:rPr>
        <w:t xml:space="preserve"> в указанный срок, </w:t>
      </w:r>
      <w:r>
        <w:rPr>
          <w:rFonts w:ascii="Times New Roman" w:hAnsi="Times New Roman"/>
          <w:color w:val="000000"/>
          <w:highlight w:val="white"/>
        </w:rPr>
        <w:t xml:space="preserve">у</w:t>
      </w:r>
      <w:r>
        <w:rPr>
          <w:rFonts w:ascii="Times New Roman" w:hAnsi="Times New Roman"/>
          <w:color w:val="000000"/>
          <w:highlight w:val="white"/>
        </w:rPr>
        <w:t xml:space="preserve">слуги считаются оказанными Исполнителем и принятыми Заказчиком, Акт об оказании услуг</w:t>
      </w:r>
      <w:r>
        <w:rPr>
          <w:rFonts w:ascii="Times New Roman" w:hAnsi="Times New Roman"/>
          <w:color w:val="000000"/>
          <w:highlight w:val="white"/>
        </w:rPr>
        <w:t xml:space="preserve">/</w:t>
      </w:r>
      <w:r>
        <w:rPr>
          <w:rFonts w:ascii="Times New Roman" w:hAnsi="Times New Roman"/>
          <w:color w:val="000000"/>
          <w:highlight w:val="white"/>
        </w:rPr>
        <w:t xml:space="preserve">УПД</w:t>
      </w:r>
      <w:r>
        <w:rPr>
          <w:rFonts w:ascii="Times New Roman" w:hAnsi="Times New Roman"/>
          <w:color w:val="000000"/>
          <w:highlight w:val="white"/>
        </w:rPr>
        <w:t xml:space="preserve"> подписанным.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ind w:left="675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ОТВЕТСТВЕННОСТЬ СТОРОН И ПОРЯДОК РАССМОТРЕНИЯ СПОРОВ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5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несут ответственность за неисполнение или ненадлежащее исполнение настоящего Договора в соответствии с действующим законодательством РФ.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5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en-US"/>
        </w:rPr>
        <w:t xml:space="preserve">В случае </w:t>
      </w:r>
      <w:r>
        <w:rPr>
          <w:rFonts w:ascii="Times New Roman" w:hAnsi="Times New Roman"/>
          <w:lang w:eastAsia="en-US"/>
        </w:rPr>
        <w:t xml:space="preserve">нарушения</w:t>
      </w:r>
      <w:r>
        <w:rPr>
          <w:rFonts w:ascii="Times New Roman" w:hAnsi="Times New Roman"/>
          <w:lang w:eastAsia="en-US"/>
        </w:rPr>
        <w:t xml:space="preserve"> Заказчиком обязательства </w:t>
      </w:r>
      <w:r>
        <w:rPr>
          <w:rFonts w:ascii="Times New Roman" w:hAnsi="Times New Roman"/>
          <w:lang w:eastAsia="en-US"/>
        </w:rPr>
        <w:t xml:space="preserve">по </w:t>
      </w:r>
      <w:r>
        <w:rPr>
          <w:rFonts w:ascii="Times New Roman" w:hAnsi="Times New Roman"/>
          <w:lang w:eastAsia="en-US"/>
        </w:rPr>
        <w:t xml:space="preserve">оплате</w:t>
      </w:r>
      <w:r>
        <w:rPr>
          <w:rFonts w:ascii="Times New Roman" w:hAnsi="Times New Roman"/>
          <w:lang w:eastAsia="en-US"/>
        </w:rPr>
        <w:t xml:space="preserve">, предусмотренного </w:t>
      </w:r>
      <w:r>
        <w:rPr>
          <w:rFonts w:ascii="Times New Roman" w:hAnsi="Times New Roman"/>
          <w:lang w:eastAsia="en-US"/>
        </w:rPr>
        <w:t xml:space="preserve">Договор</w:t>
      </w:r>
      <w:r>
        <w:rPr>
          <w:rFonts w:ascii="Times New Roman" w:hAnsi="Times New Roman"/>
          <w:lang w:eastAsia="en-US"/>
        </w:rPr>
        <w:t xml:space="preserve">ом,</w:t>
      </w:r>
      <w:r>
        <w:rPr>
          <w:rFonts w:ascii="Times New Roman" w:hAnsi="Times New Roman"/>
          <w:lang w:eastAsia="en-US"/>
        </w:rPr>
        <w:t xml:space="preserve"> Исполнитель вправе потребовать от Заказчика уплаты неустойки. Неустойка начисляется за каждый день просрочки исполнения обязательства </w:t>
      </w:r>
      <w:r>
        <w:rPr>
          <w:rFonts w:ascii="Times New Roman" w:hAnsi="Times New Roman"/>
          <w:lang w:eastAsia="en-US"/>
        </w:rPr>
        <w:t xml:space="preserve">по</w:t>
      </w:r>
      <w:r>
        <w:rPr>
          <w:rFonts w:ascii="Times New Roman" w:hAnsi="Times New Roman"/>
          <w:lang w:eastAsia="en-US"/>
        </w:rPr>
        <w:t xml:space="preserve"> оплате, начиная со дня, следующего после </w:t>
      </w:r>
      <w:r>
        <w:rPr>
          <w:rFonts w:ascii="Times New Roman" w:hAnsi="Times New Roman"/>
          <w:lang w:eastAsia="en-US"/>
        </w:rPr>
        <w:t xml:space="preserve">дня </w:t>
      </w:r>
      <w:r>
        <w:rPr>
          <w:rFonts w:ascii="Times New Roman" w:hAnsi="Times New Roman"/>
          <w:lang w:eastAsia="en-US"/>
        </w:rPr>
        <w:t xml:space="preserve">истечения установленного Договором срока исполнения обязательства по оплате. </w:t>
      </w:r>
      <w:r>
        <w:rPr>
          <w:rFonts w:ascii="Times New Roman" w:hAnsi="Times New Roman"/>
          <w:lang w:eastAsia="en-US"/>
        </w:rPr>
        <w:t xml:space="preserve">Размер такой неустойки устанавливается в размере 0,1% от неоплаченной в срок суммы</w:t>
      </w:r>
      <w:r>
        <w:rPr>
          <w:rFonts w:ascii="Times New Roman" w:hAnsi="Times New Roman"/>
          <w:lang w:eastAsia="en-US"/>
        </w:rPr>
        <w:t xml:space="preserve"> за каждый день просрочки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5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Если в соответствии с требованиями действующего законодательства РФ соблюдение претензионного порядка для обращения в суд является обязательным, то спор, возникающий из правоотношений, связанных с исполнением </w:t>
      </w:r>
      <w:r>
        <w:rPr>
          <w:rFonts w:ascii="Times New Roman" w:hAnsi="Times New Roman"/>
          <w:color w:val="000000"/>
        </w:rPr>
        <w:t xml:space="preserve">Сторонами настоящего Договора, может быть передан на разрешение арбитражного суда по истечении 7 календарных дней со дня направления претензии в адрес Заказчика посредством почтовой связи либо по истечении 5 календарных дней со </w:t>
      </w:r>
      <w:r>
        <w:rPr>
          <w:rFonts w:ascii="Times New Roman" w:hAnsi="Times New Roman"/>
          <w:color w:val="000000"/>
        </w:rPr>
        <w:t xml:space="preserve">дня направления претензии в адрес Заказчика посредством факсимильной связи либо электронной почты. Такая претензия может быть направлена посредством почтовой, факсимильной связи или по электронной почте в адрес Заказчика по реквизитам, указанным в разделе </w:t>
      </w:r>
      <w:r>
        <w:rPr>
          <w:rFonts w:ascii="Times New Roman" w:hAnsi="Times New Roman"/>
          <w:color w:val="000000"/>
        </w:rPr>
        <w:t xml:space="preserve">1</w:t>
      </w:r>
      <w:r>
        <w:rPr>
          <w:rFonts w:ascii="Times New Roman" w:hAnsi="Times New Roman"/>
          <w:color w:val="000000"/>
        </w:rPr>
        <w:t xml:space="preserve">2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Договора. Если в соответствии с требованиями действующего законодательства РФ соблюдение претензион</w:t>
      </w:r>
      <w:r>
        <w:rPr>
          <w:rFonts w:ascii="Times New Roman" w:hAnsi="Times New Roman"/>
          <w:color w:val="000000"/>
        </w:rPr>
        <w:t xml:space="preserve">ного порядка для обращения в суд не является обязательным, то спор, возникающий из правоотношений, связанных с исполнением Сторонами настоящего Договора, может быть передан на разрешение арбитражного суда без предварительного направления претензии Стороне.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5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Cпоры и разногласия, возникающие из Договора или в связи с ним, в том числе касающиеся его выполнения, нарушения, прекращения или действительности рассматриваются в Арбитражном суде города Санкт-Петербурга и Ленинградской области.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09" w:right="11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/>
      <w:bookmarkStart w:id="1" w:name="_Hlk173769463"/>
      <w:r>
        <w:rPr>
          <w:rFonts w:ascii="Times New Roman" w:hAnsi="Times New Roman"/>
          <w:b/>
          <w:bCs/>
          <w:color w:val="000000"/>
        </w:rPr>
        <w:t xml:space="preserve">СРОК ДЕЙСТВИЯ ДОГОВОРА</w:t>
      </w:r>
      <w:r>
        <w:rPr>
          <w:rFonts w:ascii="Times New Roman" w:hAnsi="Times New Roman"/>
          <w:b/>
          <w:bCs/>
          <w:color w:val="000000"/>
        </w:rPr>
        <w:t xml:space="preserve"> И СРОК ОКАЗАНИЯ УСЛУГ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4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 xml:space="preserve">Настоящий Договор вступает в силу с момента его подписания и действует по 31.12.2026</w:t>
      </w:r>
      <w:r>
        <w:rPr>
          <w:rFonts w:ascii="Times New Roman" w:hAnsi="Times New Roman"/>
          <w:color w:val="000000"/>
        </w:rPr>
        <w:t xml:space="preserve">, условия настоящего Договора применяются к отношениям Сторон, возникшим </w:t>
      </w:r>
      <w:r>
        <w:rPr>
          <w:rFonts w:ascii="Times New Roman" w:hAnsi="Times New Roman"/>
          <w:color w:val="000000"/>
          <w:highlight w:val="white"/>
        </w:rPr>
        <w:t xml:space="preserve">с </w:t>
      </w:r>
      <w:r>
        <w:rPr>
          <w:rFonts w:ascii="Times New Roman" w:hAnsi="Times New Roman"/>
          <w:color w:val="000000"/>
          <w:highlight w:val="white"/>
        </w:rPr>
        <w:t xml:space="preserve">0</w:t>
      </w:r>
      <w:r>
        <w:rPr>
          <w:rFonts w:ascii="Times New Roman" w:hAnsi="Times New Roman"/>
          <w:color w:val="000000"/>
          <w:highlight w:val="white"/>
        </w:rPr>
        <w:t xml:space="preserve">1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  <w:t xml:space="preserve">0</w:t>
      </w:r>
      <w:r>
        <w:rPr>
          <w:rFonts w:ascii="Times New Roman" w:hAnsi="Times New Roman"/>
          <w:color w:val="000000"/>
          <w:highlight w:val="white"/>
        </w:rPr>
        <w:t xml:space="preserve">1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  <w:t xml:space="preserve">2</w:t>
      </w:r>
      <w:r>
        <w:rPr>
          <w:rFonts w:ascii="Times New Roman" w:hAnsi="Times New Roman"/>
          <w:color w:val="000000"/>
          <w:highlight w:val="white"/>
        </w:rPr>
        <w:t xml:space="preserve">0</w:t>
      </w:r>
      <w:r>
        <w:rPr>
          <w:rFonts w:ascii="Times New Roman" w:hAnsi="Times New Roman"/>
          <w:color w:val="000000"/>
          <w:highlight w:val="white"/>
        </w:rPr>
        <w:t xml:space="preserve">2</w:t>
      </w:r>
      <w:r>
        <w:rPr>
          <w:rFonts w:ascii="Times New Roman" w:hAnsi="Times New Roman"/>
          <w:color w:val="000000"/>
          <w:highlight w:val="white"/>
        </w:rPr>
        <w:t xml:space="preserve">6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numPr>
          <w:ilvl w:val="1"/>
          <w:numId w:val="4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 xml:space="preserve">Срок оказания услуг по техническому обслуживанию АСДС соответствует периоду,</w:t>
      </w:r>
      <w:r>
        <w:rPr>
          <w:rFonts w:ascii="Times New Roman" w:hAnsi="Times New Roman"/>
          <w:color w:val="000000"/>
          <w:highlight w:val="white"/>
        </w:rPr>
        <w:t xml:space="preserve"> указа</w:t>
      </w:r>
      <w:r>
        <w:rPr>
          <w:rFonts w:ascii="Times New Roman" w:hAnsi="Times New Roman"/>
          <w:color w:val="000000"/>
        </w:rPr>
        <w:t xml:space="preserve">нному в п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 xml:space="preserve"> 6.1 Договора.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4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Если ни одна из Сторон до истечения срока действия Договора не заявит о его расторжении, Договор считается продленным на тех же условиях на каждый последующий календарный год. Количество таких пролонгаций не ограничено</w:t>
      </w:r>
      <w:r>
        <w:rPr>
          <w:rFonts w:ascii="Times New Roman" w:hAnsi="Times New Roman"/>
          <w:color w:val="000000"/>
        </w:rPr>
        <w:t xml:space="preserve">.</w:t>
      </w:r>
      <w:bookmarkEnd w:id="1"/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6" w:right="118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ПОРЯДОК РАСТОРЖЕНИЯ ДОГОВОРА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ind w:left="675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</w:p>
    <w:p>
      <w:pPr>
        <w:numPr>
          <w:ilvl w:val="1"/>
          <w:numId w:val="3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 вправе в одностороннем порядке отказаться от исполнения настоящего Договора при условии оплаты Исполнителю фактически понесенных последним расходов.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3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Исполнитель вправе в одностороннем порядке отказаться от исполнения настоящего Договора при условии полного возмещения Заказчику убытков.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5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АНТИКОРРУПЦИОННАЯ ОГОВОРКА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ind w:hanging="610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Заказчику известно о том, что </w:t>
      </w:r>
      <w:r>
        <w:rPr>
          <w:rFonts w:ascii="Times New Roman" w:hAnsi="Times New Roman"/>
          <w:color w:val="000000"/>
        </w:rPr>
        <w:t xml:space="preserve">Исполнитель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ведет антикоррупционную политику и развивает не допускающую коррупционных проявлений культуру.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исполнении своих обяза</w:t>
      </w:r>
      <w:r>
        <w:rPr>
          <w:rFonts w:ascii="Times New Roman" w:hAnsi="Times New Roman"/>
          <w:color w:val="000000"/>
        </w:rPr>
        <w:t xml:space="preserve">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</w:t>
      </w:r>
      <w:r>
        <w:rPr>
          <w:rFonts w:ascii="Times New Roman" w:hAnsi="Times New Roman"/>
          <w:color w:val="000000"/>
        </w:rPr>
        <w:t xml:space="preserve">ствия или решения этих лиц с целью получить какие-либо неправомерные преимущества или иные неправомерные цели.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</w:t>
      </w:r>
      <w:r>
        <w:rPr>
          <w:rFonts w:ascii="Times New Roman" w:hAnsi="Times New Roman"/>
          <w:color w:val="000000"/>
        </w:rPr>
        <w:t xml:space="preserve">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 легализации (отмыванию) доходов, полученных преступным путем.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возникновения у Стороны подозрений, что со Стороны-контрагента и (или) его представителя, и (или) работника, и (или) его аффилированного лица произошло или мо</w:t>
      </w:r>
      <w:r>
        <w:rPr>
          <w:rFonts w:ascii="Times New Roman" w:hAnsi="Times New Roman"/>
          <w:color w:val="000000"/>
        </w:rPr>
        <w:t xml:space="preserve">жет произойти нарушение каких-либо положений настоящего пункта, соответствующая Сторона обязуется незамедлительно уведомить о данном обстоятельстве другую Сторону в письменной форме и продублировать уведомление на горячую линию этой Стороны (горячая линия </w:t>
      </w:r>
      <w:r>
        <w:rPr>
          <w:rFonts w:ascii="Times New Roman" w:hAnsi="Times New Roman"/>
          <w:color w:val="000000"/>
        </w:rPr>
        <w:t xml:space="preserve">Исполнителя</w:t>
      </w:r>
      <w:r>
        <w:rPr>
          <w:rFonts w:ascii="Times New Roman" w:hAnsi="Times New Roman"/>
          <w:color w:val="000000"/>
        </w:rPr>
        <w:t xml:space="preserve">: </w:t>
      </w:r>
      <w:hyperlink r:id="rId11" w:tooltip="mailto:hotline@interrao.ru" w:history="1">
        <w:r>
          <w:rPr>
            <w:rStyle w:val="922"/>
            <w:rFonts w:ascii="Times New Roman" w:hAnsi="Times New Roman"/>
          </w:rPr>
          <w:t xml:space="preserve">hotline@interrao.ru</w:t>
        </w:r>
      </w:hyperlink>
      <w:r>
        <w:rPr>
          <w:rFonts w:ascii="Times New Roman" w:hAnsi="Times New Roman"/>
          <w:color w:val="000000"/>
        </w:rPr>
        <w:t xml:space="preserve">, горячая линия Заказчика:</w:t>
      </w:r>
      <w:r>
        <w:rPr>
          <w:rFonts w:ascii="Times New Roman" w:hAnsi="Times New Roman"/>
          <w:color w:val="000000"/>
        </w:rPr>
        <w:t xml:space="preserve"> </w:t>
      </w:r>
      <w:r>
        <w:t xml:space="preserve">____________</w:t>
      </w:r>
      <w:r>
        <w:t xml:space="preserve">).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Сторона, направившая письменное уведомление, имеет право приостановить исполнение обязательств по настоящему Договору до получения подтверждения от другой С</w:t>
      </w:r>
      <w:r>
        <w:rPr>
          <w:rFonts w:ascii="Times New Roman" w:hAnsi="Times New Roman"/>
          <w:color w:val="000000"/>
        </w:rPr>
        <w:t xml:space="preserve">тороны, что нарушения не произошло или не произойдет. Это подтверждение должно быть направлено Стороной, получившей указанное уведомление, в адрес направившей его Стороны, в течение семи рабочих дней с даты получения вышеуказанного письменного уведомления.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письменном уведомлении Сторона обязана сослаться на факты или предоставить материалы, досто</w:t>
      </w:r>
      <w:r>
        <w:rPr>
          <w:rFonts w:ascii="Times New Roman" w:hAnsi="Times New Roman"/>
          <w:color w:val="000000"/>
        </w:rPr>
        <w:t xml:space="preserve">верно подтверждающие или дающие основание предполагать, что произошло или может произойти нарушение каких-либо положений настоящего пункта Стороной-контрагентом, его аффилированными лицами, работниками или посредниками выражающееся в действиях, квалифициру</w:t>
      </w:r>
      <w:r>
        <w:rPr>
          <w:rFonts w:ascii="Times New Roman" w:hAnsi="Times New Roman"/>
          <w:color w:val="000000"/>
        </w:rPr>
        <w:t xml:space="preserve">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коррупции, легализации доходов, полученных преступным путем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hanging="610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нарушения одной Стороной обязательств воздерживаться от запрещенных в вышеуказанном пункте настоящего Договора действий и/или неполучения другой Стороной в уста</w:t>
      </w:r>
      <w:r>
        <w:rPr>
          <w:rFonts w:ascii="Times New Roman" w:hAnsi="Times New Roman"/>
          <w:color w:val="000000"/>
        </w:rPr>
        <w:t xml:space="preserve">новленный вышеуказанным пунктом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порядке, направив письменное уведомление о его расторжении. Сторона, по чье</w:t>
      </w:r>
      <w:r>
        <w:rPr>
          <w:rFonts w:ascii="Times New Roman" w:hAnsi="Times New Roman"/>
          <w:color w:val="000000"/>
        </w:rPr>
        <w:t xml:space="preserve">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расторжения, при условии представления подтверждающих такой реальный ущерб документов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 w:right="75"/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numPr>
          <w:ilvl w:val="0"/>
          <w:numId w:val="11"/>
        </w:numPr>
        <w:ind w:right="105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Возмещение имущественных потерь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jc w:val="both"/>
        <w:spacing w:after="0" w:line="240" w:lineRule="auto"/>
        <w:rPr>
          <w:rFonts w:ascii="Times New Roman" w:hAnsi="Times New Roman"/>
          <w:lang w:eastAsia="en-US"/>
        </w:rPr>
      </w:pPr>
      <w:r/>
      <w:bookmarkStart w:id="2" w:name="_Hlk164066584"/>
      <w:r>
        <w:rPr>
          <w:rFonts w:ascii="Times New Roman" w:hAnsi="Times New Roman"/>
          <w:lang w:eastAsia="en-US"/>
        </w:rPr>
        <w:t xml:space="preserve">В соответствии со статьей 406.1 Гражданского кодекса Российской Федерации Заказчик обязуется возместить Исполнителю полностью все его имущественные потери, возникшие в связи с искажением Заказчиком сведений о </w:t>
      </w:r>
      <w:r>
        <w:rPr>
          <w:rFonts w:ascii="Times New Roman" w:hAnsi="Times New Roman"/>
          <w:lang w:eastAsia="en-US"/>
        </w:rPr>
        <w:t xml:space="preserve">фактах хозяйственной жизни и об объектах налогообло</w:t>
      </w:r>
      <w:r>
        <w:rPr>
          <w:rFonts w:ascii="Times New Roman" w:hAnsi="Times New Roman"/>
          <w:lang w:eastAsia="en-US"/>
        </w:rPr>
        <w:t xml:space="preserve">жения, а также в связи с неисполнением или ненадлежащим исполнением Заказчиком своих налоговых обязанностей, либо в связи с привлечением им в качестве своих контрагентов (например, субподрядчиков, субпоставщиков) организаций, не исполняющих либо ненадлежащ</w:t>
      </w:r>
      <w:r>
        <w:rPr>
          <w:rFonts w:ascii="Times New Roman" w:hAnsi="Times New Roman"/>
          <w:lang w:eastAsia="en-US"/>
        </w:rPr>
        <w:t xml:space="preserve">им образом исполняющих свои налоговые обязанности или имеющих иные признаки недобросовестности, либо в связи с привлечением контрагентами Заказчика в качестве своих контрагентов организаций, не исполняющих либо ненадлежащим образом исполняющих свои налогов</w:t>
      </w:r>
      <w:r>
        <w:rPr>
          <w:rFonts w:ascii="Times New Roman" w:hAnsi="Times New Roman"/>
          <w:lang w:eastAsia="en-US"/>
        </w:rPr>
        <w:t xml:space="preserve">ые обязанности или имеющих иные признаки недобросовестности независимо от длины цепочки контрагентов (и в любом из указанных случаев - независимо от того, знал ли Заказчик о данных фактах или нет), в случае наступления совокупности следующих обстоятельств: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contextualSpacing/>
        <w:ind w:left="567"/>
        <w:jc w:val="both"/>
        <w:spacing w:after="0" w:line="240" w:lineRule="auto"/>
        <w:tabs>
          <w:tab w:val="left" w:pos="460" w:leader="none"/>
          <w:tab w:val="left" w:pos="993" w:leader="none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а) в порядке применения статьи 101, 105.17 Налогового кодекса Российской Федерации налоговым органом в отношении Исполнителя вын</w:t>
      </w:r>
      <w:r>
        <w:rPr>
          <w:rFonts w:ascii="Times New Roman" w:hAnsi="Times New Roman"/>
          <w:lang w:eastAsia="en-US"/>
        </w:rPr>
        <w:t xml:space="preserve">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(налог на прибыль, НДС), соответствующих сумм штрафов, пеней (далее - «Решение налогово</w:t>
      </w:r>
      <w:r>
        <w:rPr>
          <w:rFonts w:ascii="Times New Roman" w:hAnsi="Times New Roman"/>
          <w:lang w:eastAsia="en-US"/>
        </w:rPr>
        <w:t xml:space="preserve">го органа»), либо в порядке статьи 105.30 Налогового кодекса Российской Федерации от налогового органа получено мотивированное мнение с указанием сумм недоимки по налогам (налог на прибыль, НДС), соответствующих сумм пеней (далее –«Мотивированное мнение»);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932"/>
        <w:ind w:left="567"/>
        <w:jc w:val="both"/>
        <w:tabs>
          <w:tab w:val="left" w:pos="4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б) суммы недоимки по налогам (налог на прибыл</w:t>
      </w:r>
      <w:r>
        <w:rPr>
          <w:sz w:val="22"/>
          <w:szCs w:val="22"/>
        </w:rPr>
        <w:t xml:space="preserve">ь, НДС), соответствующие суммы штрафов (если применимо), пеней списаны с банковского счета Исполнителя в безакцептном порядке или перечислены Обществом добровольно (вследствие добровольного отказа Исполнителя от применения вычета по операциям с Заказчиком)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Решением налогового органа или по Мотивированному мнению налогового органа.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left="567"/>
        <w:jc w:val="both"/>
        <w:spacing w:after="0" w:line="240" w:lineRule="auto"/>
        <w:tabs>
          <w:tab w:val="left" w:pos="460" w:leader="none"/>
          <w:tab w:val="left" w:pos="993" w:leader="none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Размер имущественных потерь Исполнителя определяется как совокупность следующих сумм: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935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суммы налога на прибыль и/или НДС, доначисленного Исполнителю в связи с эпизода</w:t>
      </w:r>
      <w:r>
        <w:rPr>
          <w:sz w:val="22"/>
          <w:szCs w:val="22"/>
          <w:lang w:eastAsia="en-US"/>
        </w:rPr>
        <w:t xml:space="preserve">ми, связанными с Заказчиком, или уплаченного Исполнителем в бюджет вследствие добровольного отказа Общества от применения вычета по операциям с Заказчиком («Доначисленные налоги») в соответствии с Решением налогового органа или Мотивированным мнением; плюс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935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суммы начисленных Исполнителю пеней на сумму Доначисленных налогов в соответствии с Решением налогового органа («Пени») или Мотивированным мнением; плюс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935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штрафов, начисленных Исполнителю за соответствующие налоговые нарушения в связи с неуплатой Доначисленных налогов в соответствии с Решением налогового органа («Штрафы»).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935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Заказчик возмещает Исполнителю указанные в настоящем пункте имущественные потери в течение 10 (десяти) дней с даты предъявления Исполнителем соответствующего требования.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ind w:left="567"/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Исполнитель вправе удержать сумму возмещения потерь из причитающихся платежей Заказчику по договору, а также из иных расчетов по любым сделкам с Заказчиком (в том числе произвести зачет встречных однородных требований).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numPr>
          <w:ilvl w:val="1"/>
          <w:numId w:val="11"/>
        </w:numPr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Стороны согласовали следующую процедуру взаимодействия сторон по минимизации имущественных потерь: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932"/>
        <w:numPr>
          <w:ilvl w:val="2"/>
          <w:numId w:val="11"/>
        </w:numPr>
        <w:ind w:left="567" w:hanging="567"/>
        <w:jc w:val="both"/>
        <w:tabs>
          <w:tab w:val="num" w:pos="709" w:leader="none"/>
          <w:tab w:val="clear" w:pos="828" w:leader="none"/>
        </w:tabs>
        <w:rPr>
          <w:rStyle w:val="934"/>
          <w:rFonts w:ascii="Times New Roman" w:hAnsi="Times New Roman" w:cs="Times New Roman"/>
          <w:sz w:val="22"/>
          <w:szCs w:val="22"/>
        </w:rPr>
      </w:pPr>
      <w:r>
        <w:rPr>
          <w:rStyle w:val="934"/>
          <w:rFonts w:ascii="Times New Roman" w:hAnsi="Times New Roman" w:cs="Times New Roman"/>
          <w:sz w:val="22"/>
          <w:szCs w:val="22"/>
        </w:rPr>
        <w:t xml:space="preserve">При получении в порядке статьи 100, 105.17 Налогового кодекса Российской Федерации акта налоговой проверки (далее – «Акт налоговой проверки») или - в порядке, установленном статьей 105.29 Налогового кодекса Российской Федерации, - </w:t>
      </w:r>
      <w:hyperlink r:id="rId12" w:tooltip="consultantplus://offline/ref=1ED926C427C39AC8B4A2C047CF32E07575853E0CBFE38D3B67FC8E7F8DA23A34E3C771A1CB28C283941D4505AB2E6195E2650623CFB118F6X7OBL" w:history="1">
        <w:r>
          <w:rPr>
            <w:rStyle w:val="934"/>
            <w:rFonts w:ascii="Times New Roman" w:hAnsi="Times New Roman" w:cs="Times New Roman"/>
            <w:sz w:val="22"/>
            <w:szCs w:val="22"/>
          </w:rPr>
          <w:t xml:space="preserve">уведомления</w:t>
        </w:r>
      </w:hyperlink>
      <w:r>
        <w:rPr>
          <w:rStyle w:val="934"/>
          <w:rFonts w:ascii="Times New Roman" w:hAnsi="Times New Roman" w:cs="Times New Roman"/>
          <w:sz w:val="22"/>
          <w:szCs w:val="22"/>
        </w:rPr>
        <w:t xml:space="preserve"> о наличии оснований для составления мотивированного мнения (далее – «Уведомление»), в котором проверяющими отражены выявленные нарушения законодательства о налогах и сборах, вызванные действиями или бездействием </w:t>
      </w:r>
      <w:r>
        <w:t xml:space="preserve">Заказчика</w:t>
      </w:r>
      <w:r>
        <w:rPr>
          <w:rStyle w:val="934"/>
          <w:rFonts w:ascii="Times New Roman" w:hAnsi="Times New Roman" w:cs="Times New Roman"/>
          <w:sz w:val="22"/>
          <w:szCs w:val="22"/>
        </w:rPr>
        <w:t xml:space="preserve"> при исчислении и уплате налогов, а также привлеченных </w:t>
      </w:r>
      <w:r>
        <w:t xml:space="preserve">Заказчиком </w:t>
      </w:r>
      <w:r>
        <w:rPr>
          <w:rStyle w:val="934"/>
          <w:rFonts w:ascii="Times New Roman" w:hAnsi="Times New Roman" w:cs="Times New Roman"/>
          <w:sz w:val="22"/>
          <w:szCs w:val="22"/>
        </w:rPr>
        <w:t xml:space="preserve">в целях исполнения обязательств по Договору субконтрагентов (например, субподрядчиков, субисполнителей, субпоставщиков), </w:t>
      </w:r>
      <w:r>
        <w:t xml:space="preserve">Исполнитель</w:t>
      </w:r>
      <w:r>
        <w:rPr>
          <w:rStyle w:val="934"/>
          <w:rFonts w:ascii="Times New Roman" w:hAnsi="Times New Roman" w:cs="Times New Roman"/>
          <w:sz w:val="22"/>
          <w:szCs w:val="22"/>
        </w:rPr>
        <w:t xml:space="preserve"> в течение 10 (десяти) календарных дней с момента получения акта налоговой проверки и в течение 5 (пяти) календарных дней с момента получения Уведомления направляет в адрес </w:t>
      </w:r>
      <w:r>
        <w:t xml:space="preserve">Заказчика</w:t>
      </w:r>
      <w:r>
        <w:rPr>
          <w:rStyle w:val="934"/>
          <w:rFonts w:ascii="Times New Roman" w:hAnsi="Times New Roman" w:cs="Times New Roman"/>
          <w:sz w:val="22"/>
          <w:szCs w:val="22"/>
        </w:rPr>
        <w:t xml:space="preserve"> выписку из акта налогового органа или Уведомления по соответствующему эпизоду (далее – «Выписка»).</w:t>
      </w:r>
      <w:r>
        <w:rPr>
          <w:rStyle w:val="934"/>
          <w:rFonts w:ascii="Times New Roman" w:hAnsi="Times New Roman" w:cs="Times New Roman"/>
          <w:sz w:val="22"/>
          <w:szCs w:val="22"/>
        </w:rPr>
      </w:r>
      <w:r>
        <w:rPr>
          <w:rStyle w:val="934"/>
          <w:rFonts w:ascii="Times New Roman" w:hAnsi="Times New Roman" w:cs="Times New Roman"/>
          <w:sz w:val="22"/>
          <w:szCs w:val="22"/>
        </w:rPr>
      </w:r>
    </w:p>
    <w:p>
      <w:pPr>
        <w:pStyle w:val="932"/>
        <w:numPr>
          <w:ilvl w:val="2"/>
          <w:numId w:val="11"/>
        </w:numPr>
        <w:ind w:left="567" w:hanging="567"/>
        <w:jc w:val="both"/>
        <w:tabs>
          <w:tab w:val="num" w:pos="709" w:leader="none"/>
          <w:tab w:val="clear" w:pos="828" w:leader="none"/>
        </w:tabs>
        <w:rPr>
          <w:rStyle w:val="934"/>
          <w:rFonts w:ascii="Times New Roman" w:hAnsi="Times New Roman" w:cs="Times New Roman"/>
          <w:sz w:val="22"/>
          <w:szCs w:val="22"/>
        </w:rPr>
      </w:pPr>
      <w:r>
        <w:rPr>
          <w:rStyle w:val="934"/>
          <w:rFonts w:ascii="Times New Roman" w:hAnsi="Times New Roman" w:cs="Times New Roman"/>
          <w:sz w:val="22"/>
          <w:szCs w:val="22"/>
        </w:rPr>
        <w:t xml:space="preserve">В случае несогласия с фактами, изложенными в Выписке, а также с выводами и предлож</w:t>
      </w:r>
      <w:r>
        <w:rPr>
          <w:rStyle w:val="934"/>
          <w:rFonts w:ascii="Times New Roman" w:hAnsi="Times New Roman" w:cs="Times New Roman"/>
          <w:sz w:val="22"/>
          <w:szCs w:val="22"/>
        </w:rPr>
        <w:t xml:space="preserve">ениями проверяющих, Заказчик в течение 10 (десяти) календарных дней с момента получения Выписки из акта налогового органа направляет в адрес Исполнителя письменные мотивированные возражения по фактам (выводам проверяющих), содержащимся в ней, а также имеющ</w:t>
      </w:r>
      <w:r>
        <w:rPr>
          <w:rStyle w:val="934"/>
          <w:rFonts w:ascii="Times New Roman" w:hAnsi="Times New Roman" w:cs="Times New Roman"/>
          <w:sz w:val="22"/>
          <w:szCs w:val="22"/>
        </w:rPr>
        <w:t xml:space="preserve">иеся документы/информацию, подтверждающие необоснованность претензий налогового органа, указанных в Выписке, которые Исполнитель обязан учесть при представлении Возражений в налоговый орган в порядке предусмотренным Налоговым Кодексом Российской Федерации.</w:t>
      </w:r>
      <w:r>
        <w:rPr>
          <w:rStyle w:val="934"/>
          <w:rFonts w:ascii="Times New Roman" w:hAnsi="Times New Roman" w:cs="Times New Roman"/>
          <w:sz w:val="22"/>
          <w:szCs w:val="22"/>
        </w:rPr>
      </w:r>
      <w:r>
        <w:rPr>
          <w:rStyle w:val="934"/>
          <w:rFonts w:ascii="Times New Roman" w:hAnsi="Times New Roman" w:cs="Times New Roman"/>
          <w:sz w:val="22"/>
          <w:szCs w:val="22"/>
        </w:rPr>
      </w:r>
    </w:p>
    <w:p>
      <w:pPr>
        <w:pStyle w:val="935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В случае непредставления Заказчиком в указанный выше срок письменных мотивированных возражений по фактам (выводам проверяющих), содержащимся в Выписке, считается, что у Заказчика отсутствуют возражения против выводов проверяющих, изложенных в Выписке.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numPr>
          <w:ilvl w:val="1"/>
          <w:numId w:val="11"/>
        </w:numPr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Исполнитель вправе потребовать с Заказчика возмещения имущественных потерь, связанных с наступлением обстоятельств, указанных в п. </w:t>
      </w:r>
      <w:r>
        <w:rPr>
          <w:rFonts w:ascii="Times New Roman" w:hAnsi="Times New Roman"/>
          <w:lang w:eastAsia="en-US"/>
        </w:rPr>
        <w:t xml:space="preserve">9</w:t>
      </w:r>
      <w:r>
        <w:rPr>
          <w:rFonts w:ascii="Times New Roman" w:hAnsi="Times New Roman"/>
          <w:lang w:eastAsia="en-US"/>
        </w:rPr>
        <w:t xml:space="preserve">.1 Договора, в течение срока действия Договора и в течение трех лет после окончания срока действия Договора.</w:t>
      </w:r>
      <w:bookmarkEnd w:id="2"/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ind w:left="610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ЗАКЛЮЧИТЕЛЬНЫЕ ПОЛОЖЕНИЯ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pStyle w:val="932"/>
        <w:numPr>
          <w:ilvl w:val="1"/>
          <w:numId w:val="11"/>
        </w:numPr>
        <w:ind w:hanging="610"/>
        <w:jc w:val="both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выражает все договорные условия и понимание между Сторонами в отношении всех упомянутых здесь вопросов, при этом все предыдущие обсуждения, обещания, представления между Сторонами, если таковые имелись, кроме упомянутых в </w:t>
      </w:r>
      <w:r>
        <w:rPr>
          <w:color w:val="000000"/>
          <w:sz w:val="22"/>
          <w:szCs w:val="22"/>
        </w:rPr>
        <w:t xml:space="preserve">разделе</w:t>
      </w:r>
      <w:r>
        <w:rPr>
          <w:color w:val="000000"/>
          <w:sz w:val="22"/>
          <w:szCs w:val="22"/>
        </w:rPr>
        <w:t xml:space="preserve"> 1 Договора, утрачивают силу и заменяются настоящим текстом.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После заключения настоящего Договора предыдущие переговоры и документация Сторон по нему утрачивают силу.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Названия </w:t>
      </w:r>
      <w:r>
        <w:rPr>
          <w:rFonts w:ascii="Times New Roman" w:hAnsi="Times New Roman"/>
          <w:color w:val="000000"/>
        </w:rPr>
        <w:t xml:space="preserve">разделов </w:t>
      </w:r>
      <w:r>
        <w:rPr>
          <w:rFonts w:ascii="Times New Roman" w:hAnsi="Times New Roman"/>
          <w:color w:val="000000"/>
        </w:rPr>
        <w:t xml:space="preserve">настоящего Договора предназначены для удобства пользования текстом и не должны приниматься во внимание при толковании его условий.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договорились считать рабочими дн</w:t>
      </w:r>
      <w:r>
        <w:rPr>
          <w:rFonts w:ascii="Times New Roman" w:hAnsi="Times New Roman"/>
          <w:color w:val="000000"/>
        </w:rPr>
        <w:t xml:space="preserve">ями дни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которы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 не призна</w:t>
      </w:r>
      <w:r>
        <w:rPr>
          <w:rFonts w:ascii="Times New Roman" w:hAnsi="Times New Roman"/>
          <w:color w:val="000000"/>
        </w:rPr>
        <w:t xml:space="preserve">ю</w:t>
      </w:r>
      <w:r>
        <w:rPr>
          <w:rFonts w:ascii="Times New Roman" w:hAnsi="Times New Roman"/>
          <w:color w:val="000000"/>
        </w:rPr>
        <w:t xml:space="preserve">тся </w:t>
      </w:r>
      <w:r>
        <w:rPr>
          <w:rFonts w:ascii="Times New Roman" w:hAnsi="Times New Roman"/>
          <w:color w:val="000000"/>
        </w:rPr>
        <w:t xml:space="preserve">в соответствии с законодательством Российской Федерации выходным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, нерабочим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 праздничным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 дн</w:t>
      </w:r>
      <w:r>
        <w:rPr>
          <w:rFonts w:ascii="Times New Roman" w:hAnsi="Times New Roman"/>
          <w:color w:val="000000"/>
        </w:rPr>
        <w:t xml:space="preserve">ями</w:t>
      </w:r>
      <w:r>
        <w:rPr>
          <w:rFonts w:ascii="Times New Roman" w:hAnsi="Times New Roman"/>
          <w:color w:val="000000"/>
        </w:rPr>
        <w:t xml:space="preserve"> и (или) нерабочим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 дн</w:t>
      </w:r>
      <w:r>
        <w:rPr>
          <w:rFonts w:ascii="Times New Roman" w:hAnsi="Times New Roman"/>
          <w:color w:val="000000"/>
        </w:rPr>
        <w:t xml:space="preserve">ями</w:t>
      </w:r>
      <w:r>
        <w:rPr>
          <w:rFonts w:ascii="Times New Roman" w:hAnsi="Times New Roman"/>
          <w:color w:val="000000"/>
        </w:rPr>
        <w:t xml:space="preserve"> (при пятидневной рабочей неделе выходными днями считаются суббота и воскресенье)</w:t>
      </w:r>
      <w:r>
        <w:rPr>
          <w:rFonts w:ascii="Times New Roman" w:hAnsi="Times New Roman"/>
          <w:color w:val="000000"/>
        </w:rPr>
        <w:t xml:space="preserve">, а также определить продолжительность одного рабочего дня с 09:00 до 18:00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в пятницу с 09.00 до 17.00</w:t>
      </w:r>
      <w:r>
        <w:rPr>
          <w:rFonts w:ascii="Times New Roman" w:hAnsi="Times New Roman"/>
          <w:color w:val="000000"/>
        </w:rPr>
        <w:t xml:space="preserve"> по московскому времени.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пришли к соглашению: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о том, что уведомления, извещения, требования или иные юридически значимые сообщения в рамках исполнения Сторонами условий Договора</w:t>
      </w:r>
      <w:r>
        <w:rPr>
          <w:rFonts w:ascii="Times New Roman" w:hAnsi="Times New Roman"/>
          <w:color w:val="000000"/>
        </w:rPr>
        <w:t xml:space="preserve">, направленные по </w:t>
      </w:r>
      <w:r>
        <w:rPr>
          <w:rFonts w:ascii="Times New Roman" w:hAnsi="Times New Roman"/>
          <w:color w:val="000000"/>
        </w:rPr>
        <w:t xml:space="preserve">адресам электронных почт, указанных в п. 10.6 Договора, считаются направленными надлежащим образом;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/>
        <w:tabs>
          <w:tab w:val="left" w:pos="56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об использовании системы электронного документообор</w:t>
      </w:r>
      <w:r>
        <w:rPr>
          <w:rFonts w:ascii="Times New Roman" w:hAnsi="Times New Roman"/>
          <w:color w:val="000000"/>
        </w:rPr>
        <w:t xml:space="preserve">ота в целях оформления документов, составляемых в ходе заключения, изменения, исполнения и расторжения Договора, и обмена такими документами, подписанными усиленной квалифицированной электронной подписью, с использованием телекоммуникационных каналов связи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– в порядке, установленном действующим законодательством РФ, а также </w:t>
      </w:r>
      <w:r>
        <w:rPr>
          <w:rFonts w:ascii="Times New Roman" w:hAnsi="Times New Roman"/>
          <w:color w:val="000000"/>
        </w:rPr>
        <w:t xml:space="preserve">соглашением</w:t>
      </w:r>
      <w:r>
        <w:rPr>
          <w:rFonts w:ascii="Times New Roman" w:hAnsi="Times New Roman"/>
          <w:color w:val="000000"/>
        </w:rPr>
        <w:t xml:space="preserve"> об обмене электронными документами, заключенным Сторонами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Официальными электронными адресами для направления юридически значимых документов</w:t>
      </w:r>
      <w:r>
        <w:rPr>
          <w:rFonts w:ascii="Times New Roman" w:hAnsi="Times New Roman"/>
          <w:color w:val="000000"/>
        </w:rPr>
        <w:t xml:space="preserve"> являются: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</w:t>
      </w:r>
      <w:r>
        <w:rPr>
          <w:rFonts w:ascii="Times New Roman" w:hAnsi="Times New Roman"/>
          <w:color w:val="000000"/>
        </w:rPr>
        <w:t xml:space="preserve">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 xml:space="preserve">______________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  <w:highlight w:val="white"/>
        </w:rPr>
        <w:t xml:space="preserve">Исполнител</w:t>
      </w:r>
      <w:r>
        <w:rPr>
          <w:rFonts w:ascii="Times New Roman" w:hAnsi="Times New Roman"/>
          <w:color w:val="000000"/>
          <w:highlight w:val="white"/>
        </w:rPr>
        <w:t xml:space="preserve">ь:</w:t>
      </w:r>
      <w:r>
        <w:rPr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 xml:space="preserve">asds@pesc.r</w:t>
      </w:r>
      <w:r>
        <w:rPr>
          <w:rFonts w:ascii="Times New Roman" w:hAnsi="Times New Roman"/>
          <w:color w:val="000000"/>
          <w:highlight w:val="white"/>
        </w:rPr>
        <w:t xml:space="preserve">u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 xml:space="preserve">В случае изменения адреса электронной почты </w:t>
      </w:r>
      <w:r>
        <w:rPr>
          <w:rFonts w:ascii="Times New Roman" w:hAnsi="Times New Roman"/>
          <w:color w:val="000000"/>
          <w:highlight w:val="white"/>
        </w:rPr>
        <w:t xml:space="preserve">Заказчика</w:t>
      </w:r>
      <w:r>
        <w:rPr>
          <w:rFonts w:ascii="Times New Roman" w:hAnsi="Times New Roman"/>
          <w:color w:val="000000"/>
          <w:highlight w:val="white"/>
        </w:rPr>
        <w:t xml:space="preserve">, </w:t>
      </w:r>
      <w:r>
        <w:rPr>
          <w:rFonts w:ascii="Times New Roman" w:hAnsi="Times New Roman"/>
          <w:color w:val="000000"/>
          <w:highlight w:val="white"/>
        </w:rPr>
        <w:t xml:space="preserve">указанного в п. 10.6 Договора</w:t>
      </w:r>
      <w:r>
        <w:rPr>
          <w:rFonts w:ascii="Times New Roman" w:hAnsi="Times New Roman"/>
          <w:color w:val="000000"/>
          <w:highlight w:val="white"/>
        </w:rPr>
        <w:t xml:space="preserve">, </w:t>
      </w:r>
      <w:r>
        <w:rPr>
          <w:rFonts w:ascii="Times New Roman" w:hAnsi="Times New Roman"/>
          <w:color w:val="000000"/>
          <w:highlight w:val="white"/>
        </w:rPr>
        <w:t xml:space="preserve">Заказчик</w:t>
      </w:r>
      <w:r>
        <w:rPr>
          <w:rFonts w:ascii="Times New Roman" w:hAnsi="Times New Roman"/>
          <w:color w:val="000000"/>
          <w:highlight w:val="white"/>
        </w:rPr>
        <w:t xml:space="preserve"> обязуется письменно известить об </w:t>
      </w:r>
      <w:r>
        <w:rPr>
          <w:rFonts w:ascii="Times New Roman" w:hAnsi="Times New Roman"/>
          <w:color w:val="000000"/>
        </w:rPr>
        <w:t xml:space="preserve">этом </w:t>
      </w:r>
      <w:r>
        <w:rPr>
          <w:rFonts w:ascii="Times New Roman" w:hAnsi="Times New Roman"/>
          <w:color w:val="000000"/>
        </w:rPr>
        <w:t xml:space="preserve">Исполнителя</w:t>
      </w:r>
      <w:r>
        <w:rPr>
          <w:rFonts w:ascii="Times New Roman" w:hAnsi="Times New Roman"/>
          <w:color w:val="000000"/>
        </w:rPr>
        <w:t xml:space="preserve"> с указанием нового адреса электронной почты </w:t>
      </w:r>
      <w:r>
        <w:rPr>
          <w:rFonts w:ascii="Times New Roman" w:hAnsi="Times New Roman"/>
          <w:color w:val="000000"/>
        </w:rPr>
        <w:t xml:space="preserve">в течение </w:t>
      </w:r>
      <w:r>
        <w:rPr>
          <w:rFonts w:ascii="Times New Roman" w:hAnsi="Times New Roman"/>
          <w:color w:val="000000"/>
        </w:rPr>
        <w:t xml:space="preserve">5 (пяти)</w:t>
      </w:r>
      <w:r>
        <w:rPr>
          <w:rFonts w:ascii="Times New Roman" w:hAnsi="Times New Roman"/>
          <w:color w:val="000000"/>
        </w:rPr>
        <w:t xml:space="preserve">рабочих дней с момента изменения. В случае не уведомления Исполнителя об изменении </w:t>
      </w:r>
      <w:r>
        <w:rPr>
          <w:rFonts w:ascii="Times New Roman" w:hAnsi="Times New Roman"/>
          <w:color w:val="000000"/>
        </w:rPr>
        <w:t xml:space="preserve">адреса электронной почты</w:t>
      </w:r>
      <w:r>
        <w:rPr>
          <w:rFonts w:ascii="Times New Roman" w:hAnsi="Times New Roman"/>
          <w:color w:val="000000"/>
        </w:rPr>
        <w:t xml:space="preserve"> юридически значимые документы считаются надлежащим образом доставленными Заказчику по </w:t>
      </w:r>
      <w:r>
        <w:rPr>
          <w:rFonts w:ascii="Times New Roman" w:hAnsi="Times New Roman"/>
          <w:color w:val="000000"/>
        </w:rPr>
        <w:t xml:space="preserve">адрес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 электронной почты</w:t>
      </w:r>
      <w:r>
        <w:rPr>
          <w:rFonts w:ascii="Times New Roman" w:hAnsi="Times New Roman"/>
          <w:color w:val="000000"/>
        </w:rPr>
        <w:t xml:space="preserve">, указанному в п. 10.6 Договора.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изменения реквизитов Сторон,</w:t>
      </w:r>
      <w:r>
        <w:rPr>
          <w:rFonts w:ascii="Times New Roman" w:hAnsi="Times New Roman"/>
          <w:color w:val="000000"/>
        </w:rPr>
        <w:t xml:space="preserve"> Стороны</w:t>
      </w:r>
      <w:r>
        <w:rPr>
          <w:rFonts w:ascii="Times New Roman" w:hAnsi="Times New Roman"/>
          <w:color w:val="000000"/>
        </w:rPr>
        <w:t xml:space="preserve"> обязаны уведомить об этом друг друга не позднее 3 (трех) рабочих дней</w:t>
      </w:r>
      <w:r>
        <w:rPr>
          <w:rFonts w:ascii="Times New Roman" w:hAnsi="Times New Roman"/>
          <w:color w:val="000000"/>
        </w:rPr>
        <w:t xml:space="preserve"> с даты изменения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неуведомления или несвоевременного уведомления об изменении реквизитов Сторона обязана возместить другой Стороне убытки, причиненные неуведомлением или несвоевременным уведомлением.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Сторона, неуведомленная или несвоевременно уведомленная об изменении реквизитов другой Стороной, освобождается от ответственности за нарушение условий настоящего Договора, вызванное неуведомлением или несвоевременным уведомлением об изменении реквизитов.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Все уведомления и иные сообщения должны направляться Сторонами в письменной форме.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обязуются при передаче информации соблюдать запреты, установленные антимонопольным законодательством, в том числе обязуются не использовать полученную информацию с целью недопущения, ограничения, устранения конкуренции и (или) ущем</w:t>
      </w:r>
      <w:r>
        <w:rPr>
          <w:rFonts w:ascii="Times New Roman" w:hAnsi="Times New Roman"/>
          <w:color w:val="000000"/>
        </w:rPr>
        <w:t xml:space="preserve">ления интересов других лиц (хозяйствующих субъектов) с сфере предпринимательской деятельности либо неопределенного круга потребителей, в том числе обязуются не совершать действий (бездействия), указанных в статьях 10, 11, 11.1, 14.7 Федерального закона от </w:t>
      </w:r>
      <w:r>
        <w:rPr>
          <w:rFonts w:ascii="Times New Roman" w:hAnsi="Times New Roman"/>
          <w:color w:val="000000"/>
        </w:rPr>
        <w:t xml:space="preserve">26.07.2006 № 135-ФЗ «О защите конкуренции».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Стороны подтверждают, что передача информации осуществляется исключительно в целях обмена информацией в рамках исполнения обязательств по настоящему Договору.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 всем остальном, что не определено условиями настоящего Договора, </w:t>
      </w:r>
      <w:r>
        <w:rPr>
          <w:rFonts w:ascii="Times New Roman" w:hAnsi="Times New Roman"/>
          <w:color w:val="000000"/>
        </w:rPr>
        <w:t xml:space="preserve">С</w:t>
      </w:r>
      <w:r>
        <w:rPr>
          <w:rFonts w:ascii="Times New Roman" w:hAnsi="Times New Roman"/>
          <w:color w:val="000000"/>
        </w:rPr>
        <w:t xml:space="preserve">тороны </w:t>
      </w:r>
      <w:r>
        <w:rPr>
          <w:rFonts w:ascii="Times New Roman" w:hAnsi="Times New Roman"/>
          <w:color w:val="000000"/>
        </w:rPr>
        <w:t xml:space="preserve">руководствуются действующим законодательством Российской Федерации.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Передача прав и обязанностей по настоящему Договору третьим лицам без письменного согласия другой Стороны не допускается.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Настоящий Договор составлен на русском языке в 2 (двух) экземплярах, скрепленных подписями Сторон, имеющих равную юридическую силу, по одному для каждой из Сторон.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697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ПРИЛОЖЕНИЯ </w:t>
      </w:r>
      <w:r>
        <w:rPr>
          <w:rFonts w:ascii="Times New Roman" w:hAnsi="Times New Roman"/>
          <w:b/>
          <w:bCs/>
          <w:color w:val="000000"/>
        </w:rPr>
        <w:t xml:space="preserve">К ДОГОВОРУ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Приложение № 1 – Перечень и стоимость оказания услуг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697"/>
        <w:jc w:val="center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РЕКВИЗИТЫ СТОРОН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536"/>
        <w:gridCol w:w="425"/>
        <w:gridCol w:w="4678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Исполнитель: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Заказчик: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АО "Петербургская сбытовая компания"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ИНН / КПП: 7841322249 / 780401001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ОГРН: 1057812496818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БИК: 044525220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р/с 40702810260010110065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в Центральном филиале "АБ "РОССИЯ",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к/с 30101810145250000220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Юр. адрес: 195009, город Санкт-Петербург,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улица Михайлова, д.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Телефон/ Факс: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(812) 611-19-05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Эл. почта: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office@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pesc.ru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ИНН /КПП: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ОГРН: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БИК: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л/с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Юр. адрес: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-108" w:right="-108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Телефон/ Факс: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(</w:t>
            </w:r>
            <w:r/>
          </w:p>
          <w:p>
            <w:pPr>
              <w:ind w:left="-108" w:right="-108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Эл. почтаl: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Директор по развитию и маркетингу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" w:type="dxa"/>
            <w:vAlign w:val="bottom"/>
            <w:textDirection w:val="lrTb"/>
            <w:noWrap w:val="false"/>
          </w:tcPr>
          <w:p>
            <w:pPr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t xml:space="preserve">должность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должность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доверенность № 84/2023 (машиночитаемая доверенность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73373d10-335a-43fc-9ce5-f12e6b00d268) от 27.11.2023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25" w:type="dxa"/>
            <w:vAlign w:val="bottom"/>
            <w:textDirection w:val="lrTb"/>
            <w:noWrap w:val="false"/>
          </w:tcPr>
          <w:p>
            <w:pPr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val="en-US"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t xml:space="preserve">доверенность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доверенность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овалева Ольга Евгеньевна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" w:type="dxa"/>
            <w:vAlign w:val="bottom"/>
            <w:textDirection w:val="lrTb"/>
            <w:noWrap w:val="false"/>
          </w:tcPr>
          <w:p>
            <w:pPr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t xml:space="preserve">ФИО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ФИО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подпись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подпись</w:t>
            </w:r>
            <w:bookmarkEnd w:id="0"/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</w:tr>
    </w:tbl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br w:type="page" w:clear="all"/>
      </w:r>
      <w:r>
        <w:rPr>
          <w:rFonts w:ascii="Times New Roman" w:hAnsi="Times New Roman"/>
          <w:color w:val="000000"/>
        </w:rPr>
        <w:t xml:space="preserve">Приложение № 1 к договору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_________ </w:t>
      </w:r>
      <w:r>
        <w:rPr>
          <w:rFonts w:ascii="Times New Roman" w:hAnsi="Times New Roman"/>
          <w:color w:val="000000"/>
        </w:rPr>
        <w:t xml:space="preserve">«___» ____________ 2025 г.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09" w:right="118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ind w:left="109" w:right="118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ind w:left="109" w:right="118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Перечень и стоимость оказания услуг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pStyle w:val="932"/>
        <w:ind w:left="709" w:right="118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 xml:space="preserve">на объекте по а</w:t>
      </w:r>
      <w:r>
        <w:rPr>
          <w:color w:val="000000"/>
          <w:sz w:val="22"/>
          <w:szCs w:val="22"/>
          <w:lang w:val="en-US"/>
        </w:rPr>
        <w:t xml:space="preserve">дрес</w:t>
      </w:r>
      <w:r>
        <w:rPr>
          <w:color w:val="000000"/>
          <w:sz w:val="22"/>
          <w:szCs w:val="22"/>
          <w:lang w:val="en-US"/>
        </w:rPr>
        <w:t xml:space="preserve">у:</w:t>
      </w:r>
      <w:r>
        <w:rPr>
          <w:color w:val="000000"/>
          <w:sz w:val="22"/>
          <w:szCs w:val="22"/>
        </w:rPr>
        <w:t xml:space="preserve"> _________________________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32"/>
        <w:ind w:left="709" w:right="118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32"/>
        <w:numPr>
          <w:ilvl w:val="0"/>
          <w:numId w:val="31"/>
        </w:numPr>
        <w:ind w:right="118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 xml:space="preserve">Единичные расценки</w:t>
      </w:r>
      <w:r>
        <w:rPr>
          <w:color w:val="000000"/>
          <w:sz w:val="22"/>
          <w:szCs w:val="22"/>
          <w:lang w:val="en-US"/>
        </w:rPr>
        <w:t xml:space="preserve"> на обслуживание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Style w:val="944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6070"/>
        <w:gridCol w:w="3346"/>
      </w:tblGrid>
      <w:tr>
        <w:tblPrEx/>
        <w:trPr>
          <w:jc w:val="center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п/п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070" w:type="dxa"/>
            <w:vAlign w:val="center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услуги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346" w:type="dxa"/>
            <w:vAlign w:val="center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Цена услуги за 1 календарный месяц обслуживания,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руб. с НДС*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.1</w:t>
            </w:r>
            <w:r>
              <w:rPr>
                <w:rFonts w:ascii="Times New Roman" w:hAnsi="Times New Roman"/>
                <w:color w:val="000000"/>
                <w:lang w:val="en-US"/>
              </w:rPr>
            </w:r>
            <w:r>
              <w:rPr>
                <w:rFonts w:ascii="Times New Roman" w:hAnsi="Times New Roman"/>
                <w:color w:val="000000"/>
                <w:lang w:val="en-US"/>
              </w:rPr>
            </w:r>
          </w:p>
        </w:tc>
        <w:tc>
          <w:tcPr>
            <w:tcW w:w="6070" w:type="dxa"/>
            <w:vAlign w:val="center"/>
            <w:textDirection w:val="lrTb"/>
            <w:noWrap w:val="false"/>
          </w:tcPr>
          <w:p>
            <w:pPr>
              <w:ind w:right="11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Обслуживание прибора учета (включая услугу по передаче данных) (за 1 ПУ)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346" w:type="dxa"/>
            <w:vAlign w:val="center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25,00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1.</w:t>
            </w:r>
            <w:r>
              <w:rPr>
                <w:rFonts w:ascii="Times New Roman" w:hAnsi="Times New Roman"/>
                <w:color w:val="000000"/>
              </w:rPr>
              <w:t xml:space="preserve">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070" w:type="dxa"/>
            <w:vAlign w:val="center"/>
            <w:textDirection w:val="lrTb"/>
            <w:noWrap w:val="false"/>
          </w:tcPr>
          <w:p>
            <w:pPr>
              <w:ind w:right="11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Обслуживание оборудования связи (за 1 оборудование)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346" w:type="dxa"/>
            <w:vAlign w:val="center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1 200,00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left="109" w:right="118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*НДС исчисляется по ставке, установленной п.3 ст.164 НК РФ.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39"/>
        <w:ind w:right="118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32"/>
        <w:numPr>
          <w:ilvl w:val="0"/>
          <w:numId w:val="31"/>
        </w:numPr>
        <w:ind w:left="0" w:right="-8" w:firstLine="0"/>
        <w:jc w:val="both"/>
        <w:widowControl w:val="off"/>
        <w:tabs>
          <w:tab w:val="left" w:pos="142" w:leader="none"/>
          <w:tab w:val="left" w:pos="56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Количество обслуживаем</w:t>
      </w:r>
      <w:r>
        <w:rPr>
          <w:color w:val="000000"/>
          <w:sz w:val="22"/>
          <w:szCs w:val="22"/>
          <w:lang w:val="en-US"/>
        </w:rPr>
        <w:t xml:space="preserve">ого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 xml:space="preserve">оборудования: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32"/>
        <w:numPr>
          <w:ilvl w:val="1"/>
          <w:numId w:val="31"/>
        </w:numPr>
        <w:ind w:left="0" w:right="-8" w:firstLine="0"/>
        <w:jc w:val="both"/>
        <w:widowControl w:val="off"/>
        <w:tabs>
          <w:tab w:val="left" w:pos="142" w:leader="none"/>
          <w:tab w:val="left" w:pos="56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прибор</w:t>
      </w:r>
      <w:r>
        <w:rPr>
          <w:color w:val="000000"/>
          <w:sz w:val="22"/>
          <w:szCs w:val="22"/>
          <w:lang w:val="en-US"/>
        </w:rPr>
        <w:t xml:space="preserve">ы</w:t>
      </w:r>
      <w:r>
        <w:rPr>
          <w:color w:val="000000"/>
          <w:sz w:val="22"/>
          <w:szCs w:val="22"/>
        </w:rPr>
        <w:t xml:space="preserve"> учета (ПУ): </w:t>
      </w:r>
      <w:r>
        <w:rPr>
          <w:color w:val="000000"/>
          <w:sz w:val="22"/>
          <w:szCs w:val="22"/>
          <w:lang w:val="en-US"/>
        </w:rPr>
        <w:t xml:space="preserve">____________.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32"/>
        <w:numPr>
          <w:ilvl w:val="1"/>
          <w:numId w:val="31"/>
        </w:numPr>
        <w:ind w:left="0" w:right="-8" w:firstLine="0"/>
        <w:jc w:val="both"/>
        <w:widowControl w:val="off"/>
        <w:tabs>
          <w:tab w:val="left" w:pos="142" w:leader="none"/>
          <w:tab w:val="left" w:pos="56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оборудование связи (ОС): ____________.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32"/>
        <w:numPr>
          <w:ilvl w:val="1"/>
          <w:numId w:val="31"/>
        </w:numPr>
        <w:ind w:left="0" w:right="-8" w:firstLine="0"/>
        <w:jc w:val="both"/>
        <w:widowControl w:val="off"/>
        <w:tabs>
          <w:tab w:val="left" w:pos="142" w:leader="none"/>
          <w:tab w:val="left" w:pos="56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Изменение количества обслуживаемого оборудования производится на основании заявки Заказчика, являющейся неотъемлемой частью Договора</w:t>
      </w:r>
      <w:r>
        <w:rPr>
          <w:color w:val="000000"/>
          <w:sz w:val="22"/>
          <w:szCs w:val="22"/>
          <w:lang w:val="en-US"/>
        </w:rPr>
        <w:t xml:space="preserve">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39"/>
        <w:ind w:left="567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32"/>
        <w:numPr>
          <w:ilvl w:val="0"/>
          <w:numId w:val="31"/>
        </w:numPr>
        <w:ind w:left="0" w:right="118" w:firstLine="0"/>
        <w:widowControl w:val="off"/>
        <w:tabs>
          <w:tab w:val="left" w:pos="56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Стоимость услуг рассчитывается в следующем порядке: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32"/>
        <w:numPr>
          <w:ilvl w:val="1"/>
          <w:numId w:val="31"/>
        </w:numPr>
        <w:ind w:left="0" w:firstLine="0"/>
        <w:jc w:val="both"/>
        <w:widowControl w:val="off"/>
        <w:tabs>
          <w:tab w:val="left" w:pos="56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Стоимость услуг за 1 календарный месяц обслуживания рассчитывается по формуле: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С1 календ. месяц = Ц1 *ПУ + Ц2*ОС</w:t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где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С</w:t>
      </w:r>
      <w:r>
        <w:rPr>
          <w:rFonts w:ascii="Times New Roman" w:hAnsi="Times New Roman"/>
          <w:b/>
          <w:color w:val="000000"/>
          <w:vertAlign w:val="subscript"/>
        </w:rPr>
        <w:t xml:space="preserve">1 календ. месяц</w:t>
      </w:r>
      <w:r>
        <w:rPr>
          <w:rFonts w:ascii="Times New Roman" w:hAnsi="Times New Roman"/>
          <w:color w:val="000000"/>
        </w:rPr>
        <w:t xml:space="preserve"> - стоимость услуги за 1 календарный месяц обслуживания;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Ц</w:t>
      </w:r>
      <w:r>
        <w:rPr>
          <w:rFonts w:ascii="Times New Roman" w:hAnsi="Times New Roman"/>
          <w:b/>
          <w:color w:val="000000"/>
          <w:vertAlign w:val="subscript"/>
        </w:rPr>
        <w:t xml:space="preserve">1</w:t>
      </w:r>
      <w:r>
        <w:rPr>
          <w:rFonts w:ascii="Times New Roman" w:hAnsi="Times New Roman"/>
          <w:color w:val="000000"/>
          <w:vertAlign w:val="subscript"/>
        </w:rPr>
        <w:t xml:space="preserve"> </w:t>
      </w:r>
      <w:r>
        <w:rPr>
          <w:rFonts w:ascii="Times New Roman" w:hAnsi="Times New Roman"/>
          <w:color w:val="000000"/>
        </w:rPr>
        <w:t xml:space="preserve">-</w:t>
      </w:r>
      <w:r>
        <w:rPr>
          <w:rFonts w:ascii="Times New Roman" w:hAnsi="Times New Roman"/>
          <w:color w:val="000000"/>
          <w:vertAlign w:val="subscript"/>
        </w:rPr>
        <w:t xml:space="preserve"> </w:t>
      </w:r>
      <w:r>
        <w:rPr>
          <w:rFonts w:ascii="Times New Roman" w:hAnsi="Times New Roman"/>
          <w:color w:val="000000"/>
        </w:rPr>
        <w:t xml:space="preserve">цена услуги за 1 календарный месяц обслуживания за 1 прибор учета, указанная в п. 1.1 настоящего Приложения;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ПУ</w:t>
      </w:r>
      <w:r>
        <w:rPr>
          <w:rFonts w:ascii="Times New Roman" w:hAnsi="Times New Roman"/>
          <w:color w:val="000000"/>
        </w:rPr>
        <w:t xml:space="preserve"> - количество</w:t>
      </w:r>
      <w:r>
        <w:t xml:space="preserve"> о</w:t>
      </w:r>
      <w:r>
        <w:rPr>
          <w:rFonts w:ascii="Times New Roman" w:hAnsi="Times New Roman"/>
          <w:color w:val="000000"/>
        </w:rPr>
        <w:t xml:space="preserve">бслуживаемых приборов учета, указанное в п. 2.1 настоящего Приложения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Ц</w:t>
      </w:r>
      <w:r>
        <w:rPr>
          <w:rFonts w:ascii="Times New Roman" w:hAnsi="Times New Roman"/>
          <w:b/>
          <w:color w:val="000000"/>
          <w:vertAlign w:val="subscript"/>
        </w:rPr>
        <w:t xml:space="preserve">2</w:t>
      </w:r>
      <w:r>
        <w:rPr>
          <w:rFonts w:ascii="Times New Roman" w:hAnsi="Times New Roman"/>
          <w:color w:val="000000"/>
          <w:vertAlign w:val="subscript"/>
        </w:rPr>
        <w:t xml:space="preserve"> </w:t>
      </w:r>
      <w:r>
        <w:rPr>
          <w:rFonts w:ascii="Times New Roman" w:hAnsi="Times New Roman"/>
          <w:color w:val="000000"/>
        </w:rPr>
        <w:t xml:space="preserve">-</w:t>
      </w:r>
      <w:r>
        <w:rPr>
          <w:rFonts w:ascii="Times New Roman" w:hAnsi="Times New Roman"/>
          <w:color w:val="000000"/>
          <w:vertAlign w:val="subscript"/>
        </w:rPr>
        <w:t xml:space="preserve"> </w:t>
      </w:r>
      <w:r>
        <w:rPr>
          <w:rFonts w:ascii="Times New Roman" w:hAnsi="Times New Roman"/>
          <w:color w:val="000000"/>
        </w:rPr>
        <w:t xml:space="preserve">цена услуги за 1 календарный месяц обслуживания за 1 оборудование связи, указанная в п. 1.2 настоящего Приложения;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ОС </w:t>
      </w:r>
      <w:r>
        <w:rPr>
          <w:rFonts w:ascii="Times New Roman" w:hAnsi="Times New Roman"/>
          <w:color w:val="000000"/>
        </w:rPr>
        <w:t xml:space="preserve">- количество</w:t>
      </w:r>
      <w:r>
        <w:t xml:space="preserve"> о</w:t>
      </w:r>
      <w:r>
        <w:rPr>
          <w:rFonts w:ascii="Times New Roman" w:hAnsi="Times New Roman"/>
          <w:color w:val="000000"/>
        </w:rPr>
        <w:t xml:space="preserve">бслуживаемых оборудований связи, указанное в п. 2.2 настоящего Приложения.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32"/>
        <w:numPr>
          <w:ilvl w:val="1"/>
          <w:numId w:val="31"/>
        </w:numPr>
        <w:ind w:left="0" w:firstLine="0"/>
        <w:jc w:val="both"/>
        <w:widowControl w:val="off"/>
        <w:tabs>
          <w:tab w:val="left" w:pos="56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Стоимость услуги за период обслуживания рассчитывается как сумма стоимости услуг за каждый календарный месяц обслуживания (</w:t>
      </w:r>
      <w:r>
        <w:rPr>
          <w:b/>
          <w:color w:val="000000"/>
          <w:sz w:val="22"/>
          <w:szCs w:val="22"/>
        </w:rPr>
        <w:t xml:space="preserve">С</w:t>
      </w:r>
      <w:r>
        <w:rPr>
          <w:b/>
          <w:color w:val="000000"/>
        </w:rPr>
        <w:t xml:space="preserve">1 календ. месяц</w:t>
      </w:r>
      <w:r>
        <w:rPr>
          <w:color w:val="000000"/>
          <w:sz w:val="22"/>
          <w:szCs w:val="22"/>
        </w:rPr>
        <w:t xml:space="preserve">) в периоде обслуживания.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right="118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109" w:right="118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109" w:right="118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039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4"/>
        <w:gridCol w:w="1894"/>
        <w:gridCol w:w="708"/>
        <w:gridCol w:w="335"/>
        <w:gridCol w:w="649"/>
        <w:gridCol w:w="1485"/>
        <w:gridCol w:w="1686"/>
      </w:tblGrid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vAlign w:val="bottom"/>
            <w:textDirection w:val="lrTb"/>
            <w:noWrap w:val="false"/>
          </w:tcPr>
          <w:p>
            <w:pPr>
              <w:ind w:left="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Представитель Заказчика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5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5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подпись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textDirection w:val="lrTb"/>
            <w:noWrap w:val="false"/>
          </w:tcPr>
          <w:p>
            <w:pPr>
              <w:ind w:left="108" w:right="252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М.П.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5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vAlign w:val="bottom"/>
            <w:textDirection w:val="lrTb"/>
            <w:noWrap w:val="false"/>
          </w:tcPr>
          <w:p>
            <w:pPr>
              <w:ind w:left="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Представитель Исполнителя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</w:t>
            </w:r>
            <w:r>
              <w:rPr>
                <w:rFonts w:ascii="Times New Roman" w:hAnsi="Times New Roman"/>
                <w:color w:val="000000"/>
              </w:rPr>
              <w:t xml:space="preserve">овалева О.Е.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5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5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подпись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textDirection w:val="lrTb"/>
            <w:noWrap w:val="false"/>
          </w:tcPr>
          <w:p>
            <w:pPr>
              <w:ind w:left="108" w:right="252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М.П.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sectPr>
      <w:footerReference w:type="default" r:id="rId9"/>
      <w:footnotePr/>
      <w:endnotePr/>
      <w:type w:val="nextPage"/>
      <w:pgSz w:w="11900" w:h="16820" w:orient="portrait"/>
      <w:pgMar w:top="567" w:right="709" w:bottom="1134" w:left="1134" w:header="284" w:footer="16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109" w:right="118"/>
      <w:spacing w:after="0" w:line="240" w:lineRule="auto"/>
      <w:widowControl w:val="off"/>
      <w:tabs>
        <w:tab w:val="center" w:pos="4785" w:leader="none"/>
        <w:tab w:val="right" w:pos="9463" w:leader="none"/>
      </w:tabs>
      <w:rPr>
        <w:rFonts w:ascii="Arial" w:hAnsi="Arial" w:cs="Arial"/>
        <w:sz w:val="24"/>
        <w:szCs w:val="24"/>
      </w:rPr>
    </w:pPr>
    <w:fldSimple w:instr="PAGE \* MERGEFORMAT">
      <w:r>
        <w:rPr>
          <w:rFonts w:ascii="Times New Roman" w:hAnsi="Times New Roman"/>
          <w:color w:val="000000"/>
          <w:sz w:val="24"/>
          <w:szCs w:val="24"/>
        </w:rPr>
        <w:t xml:space="preserve">1</w:t>
      </w:r>
    </w:fldSimple>
    <w:r>
      <w:rPr>
        <w:rFonts w:ascii="Times New Roman" w:hAnsi="Times New Roman"/>
        <w:color w:val="000000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  <w:p>
    <w:pPr>
      <w:ind w:left="109" w:right="478" w:firstLine="360"/>
      <w:spacing w:after="0" w:line="240" w:lineRule="auto"/>
      <w:widowControl w:val="off"/>
      <w:tabs>
        <w:tab w:val="center" w:pos="4785" w:leader="none"/>
        <w:tab w:val="right" w:pos="9463" w:leader="none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68" w:hanging="360"/>
        <w:tabs>
          <w:tab w:val="num" w:pos="468" w:leader="none"/>
        </w:tabs>
      </w:pPr>
      <w:rPr>
        <w:rFonts w:ascii="Arial" w:hAnsi="Arial"/>
        <w:color w:val="000000"/>
        <w:sz w:val="24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62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9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55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02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50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17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43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62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9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55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02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50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17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43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48" w:hanging="48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5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4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5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2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16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44" w:hanging="1800"/>
      </w:pPr>
      <w:rPr>
        <w:rFonts w:hint="default" w:cs="Times New Roman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32" w:hanging="1800"/>
      </w:pPr>
      <w:rPr>
        <w:rFonts w:hint="default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62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9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55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02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50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17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43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26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4."/>
      <w:lvlJc w:val="left"/>
      <w:pPr>
        <w:ind w:left="298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isLgl w:val="false"/>
      <w:suff w:val="tab"/>
      <w:lvlText w:val="%5."/>
      <w:lvlJc w:val="left"/>
      <w:pPr>
        <w:ind w:left="370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isLgl w:val="false"/>
      <w:suff w:val="tab"/>
      <w:lvlText w:val="%6."/>
      <w:lvlJc w:val="right"/>
      <w:pPr>
        <w:ind w:left="442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51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58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right"/>
      <w:pPr>
        <w:ind w:left="658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0">
    <w:multiLevelType w:val="hybridMultilevel"/>
    <w:lvl w:ilvl="0">
      <w:start w:val="1"/>
      <w:numFmt w:val="decimal"/>
      <w:pStyle w:val="935"/>
      <w:isLgl w:val="false"/>
      <w:suff w:val="tab"/>
      <w:lvlText w:val="%1."/>
      <w:lvlJc w:val="left"/>
      <w:pPr>
        <w:ind w:left="993" w:firstLine="709"/>
        <w:tabs>
          <w:tab w:val="num" w:pos="21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pStyle w:val="936"/>
      <w:isLgl w:val="false"/>
      <w:suff w:val="tab"/>
      <w:lvlText w:val="%1.%2."/>
      <w:lvlJc w:val="left"/>
      <w:pPr>
        <w:ind w:left="284" w:firstLine="709"/>
        <w:tabs>
          <w:tab w:val="num" w:pos="1560" w:leader="none"/>
        </w:tabs>
      </w:pPr>
      <w:rPr>
        <w:rFonts w:hint="default"/>
      </w:rPr>
    </w:lvl>
    <w:lvl w:ilvl="2">
      <w:start w:val="1"/>
      <w:numFmt w:val="decimal"/>
      <w:pStyle w:val="937"/>
      <w:isLgl w:val="false"/>
      <w:suff w:val="tab"/>
      <w:lvlText w:val="%1.%2.%3."/>
      <w:lvlJc w:val="left"/>
      <w:pPr>
        <w:ind w:left="993" w:firstLine="709"/>
        <w:tabs>
          <w:tab w:val="num" w:pos="241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30" w:hanging="648"/>
        <w:tabs>
          <w:tab w:val="num" w:pos="3862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4" w:hanging="792"/>
        <w:tabs>
          <w:tab w:val="num" w:pos="422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38" w:hanging="936"/>
        <w:tabs>
          <w:tab w:val="num" w:pos="494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42" w:hanging="1080"/>
        <w:tabs>
          <w:tab w:val="num" w:pos="530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46" w:hanging="1224"/>
        <w:tabs>
          <w:tab w:val="num" w:pos="602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22" w:hanging="1440"/>
        <w:tabs>
          <w:tab w:val="num" w:pos="6382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426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26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4."/>
      <w:lvlJc w:val="left"/>
      <w:pPr>
        <w:ind w:left="298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isLgl w:val="false"/>
      <w:suff w:val="tab"/>
      <w:lvlText w:val="%5."/>
      <w:lvlJc w:val="left"/>
      <w:pPr>
        <w:ind w:left="370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isLgl w:val="false"/>
      <w:suff w:val="tab"/>
      <w:lvlText w:val="%6."/>
      <w:lvlJc w:val="right"/>
      <w:pPr>
        <w:ind w:left="442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51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58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right"/>
      <w:pPr>
        <w:ind w:left="658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30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31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91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9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54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55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56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1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suff w:val="tab"/>
      <w:lvlText w:val="%1.%2.%3."/>
      <w:lvlJc w:val="left"/>
      <w:pPr>
        <w:ind w:left="89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suff w:val="tab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3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33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38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60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suff w:val="tab"/>
      <w:lvlText w:val="%1.%2.%3."/>
      <w:lvlJc w:val="left"/>
      <w:pPr>
        <w:ind w:left="20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1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7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709" w:hanging="1800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62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9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55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02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50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17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43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5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9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65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800"/>
      </w:pPr>
      <w:rPr>
        <w:rFonts w:hint="default"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8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548" w:hanging="360"/>
        <w:tabs>
          <w:tab w:val="num" w:pos="108" w:leader="none"/>
        </w:tabs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2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isLgl w:val="false"/>
      <w:suff w:val="tab"/>
      <w:lvlText w:val=""/>
      <w:lvlJc w:val="left"/>
      <w:pPr>
        <w:ind w:left="298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isLgl w:val="false"/>
      <w:suff w:val="tab"/>
      <w:lvlText w:val="o"/>
      <w:lvlJc w:val="left"/>
      <w:pPr>
        <w:ind w:left="3708" w:hanging="360"/>
        <w:tabs>
          <w:tab w:val="num" w:pos="108" w:leader="none"/>
        </w:tabs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isLgl w:val="false"/>
      <w:suff w:val="tab"/>
      <w:lvlText w:val=""/>
      <w:lvlJc w:val="left"/>
      <w:pPr>
        <w:ind w:left="442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isLgl w:val="false"/>
      <w:suff w:val="tab"/>
      <w:lvlText w:val=""/>
      <w:lvlJc w:val="left"/>
      <w:pPr>
        <w:ind w:left="51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isLgl w:val="false"/>
      <w:suff w:val="tab"/>
      <w:lvlText w:val="o"/>
      <w:lvlJc w:val="left"/>
      <w:pPr>
        <w:ind w:left="5868" w:hanging="360"/>
        <w:tabs>
          <w:tab w:val="num" w:pos="108" w:leader="none"/>
        </w:tabs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isLgl w:val="false"/>
      <w:suff w:val="tab"/>
      <w:lvlText w:val=""/>
      <w:lvlJc w:val="left"/>
      <w:pPr>
        <w:ind w:left="658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9" w:hanging="180"/>
      </w:pPr>
    </w:lvl>
  </w:abstractNum>
  <w:abstractNum w:abstractNumId="2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851"/>
        <w:tabs>
          <w:tab w:val="num" w:pos="108" w:leader="none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27"/>
  </w:num>
  <w:num w:numId="5">
    <w:abstractNumId w:val="6"/>
  </w:num>
  <w:num w:numId="6">
    <w:abstractNumId w:val="26"/>
  </w:num>
  <w:num w:numId="7">
    <w:abstractNumId w:val="19"/>
  </w:num>
  <w:num w:numId="8">
    <w:abstractNumId w:val="29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0"/>
  </w:num>
  <w:num w:numId="20">
    <w:abstractNumId w:val="5"/>
  </w:num>
  <w:num w:numId="21">
    <w:abstractNumId w:val="4"/>
  </w:num>
  <w:num w:numId="22">
    <w:abstractNumId w:val="14"/>
  </w:num>
  <w:num w:numId="23">
    <w:abstractNumId w:val="23"/>
  </w:num>
  <w:num w:numId="24">
    <w:abstractNumId w:val="10"/>
  </w:num>
  <w:num w:numId="25">
    <w:abstractNumId w:val="16"/>
  </w:num>
  <w:num w:numId="26">
    <w:abstractNumId w:val="22"/>
  </w:num>
  <w:num w:numId="27">
    <w:abstractNumId w:val="12"/>
  </w:num>
  <w:num w:numId="28">
    <w:abstractNumId w:val="2"/>
  </w:num>
  <w:num w:numId="29">
    <w:abstractNumId w:val="24"/>
  </w:num>
  <w:num w:numId="30">
    <w:abstractNumId w:val="28"/>
  </w:num>
  <w:num w:numId="31">
    <w:abstractNumId w:val="15"/>
  </w:num>
  <w:num w:numId="32">
    <w:abstractNumId w:val="13"/>
  </w:num>
  <w:num w:numId="33">
    <w:abstractNumId w:val="17"/>
  </w:num>
  <w:num w:numId="34">
    <w:abstractNumId w:val="21"/>
  </w:num>
  <w:num w:numId="35">
    <w:abstractNumId w:val="25"/>
  </w:num>
  <w:num w:numId="36">
    <w:abstractNumId w:val="7"/>
  </w:num>
  <w:num w:numId="37">
    <w:abstractNumId w:val="30"/>
  </w:num>
  <w:num w:numId="38">
    <w:abstractNumId w:val="31"/>
  </w:num>
  <w:num w:numId="39">
    <w:abstractNumId w:val="3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>
    <w:name w:val="Heading 1"/>
    <w:basedOn w:val="918"/>
    <w:next w:val="918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basedOn w:val="919"/>
    <w:link w:val="743"/>
    <w:uiPriority w:val="9"/>
    <w:rPr>
      <w:rFonts w:ascii="Arial" w:hAnsi="Arial" w:eastAsia="Arial" w:cs="Arial"/>
      <w:sz w:val="40"/>
      <w:szCs w:val="40"/>
    </w:rPr>
  </w:style>
  <w:style w:type="paragraph" w:styleId="745">
    <w:name w:val="Heading 2"/>
    <w:basedOn w:val="918"/>
    <w:next w:val="918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basedOn w:val="919"/>
    <w:link w:val="745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18"/>
    <w:next w:val="918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basedOn w:val="919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18"/>
    <w:next w:val="918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19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8"/>
    <w:next w:val="918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19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8"/>
    <w:next w:val="918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19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8"/>
    <w:next w:val="918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19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8"/>
    <w:next w:val="918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1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8"/>
    <w:next w:val="918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19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18"/>
    <w:next w:val="918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basedOn w:val="919"/>
    <w:link w:val="762"/>
    <w:uiPriority w:val="10"/>
    <w:rPr>
      <w:sz w:val="48"/>
      <w:szCs w:val="48"/>
    </w:rPr>
  </w:style>
  <w:style w:type="paragraph" w:styleId="764">
    <w:name w:val="Subtitle"/>
    <w:basedOn w:val="918"/>
    <w:next w:val="918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9"/>
    <w:link w:val="764"/>
    <w:uiPriority w:val="11"/>
    <w:rPr>
      <w:sz w:val="24"/>
      <w:szCs w:val="24"/>
    </w:rPr>
  </w:style>
  <w:style w:type="paragraph" w:styleId="766">
    <w:name w:val="Quote"/>
    <w:basedOn w:val="918"/>
    <w:next w:val="918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8"/>
    <w:next w:val="918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18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basedOn w:val="919"/>
    <w:link w:val="770"/>
    <w:uiPriority w:val="99"/>
  </w:style>
  <w:style w:type="paragraph" w:styleId="772">
    <w:name w:val="Footer"/>
    <w:basedOn w:val="918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Footer Char"/>
    <w:basedOn w:val="919"/>
    <w:link w:val="772"/>
    <w:uiPriority w:val="99"/>
  </w:style>
  <w:style w:type="paragraph" w:styleId="774">
    <w:name w:val="Caption"/>
    <w:basedOn w:val="918"/>
    <w:next w:val="918"/>
    <w:link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basedOn w:val="919"/>
    <w:link w:val="774"/>
    <w:uiPriority w:val="35"/>
    <w:rPr>
      <w:b/>
      <w:bCs/>
      <w:color w:val="4f81bd" w:themeColor="accent1"/>
      <w:sz w:val="18"/>
      <w:szCs w:val="18"/>
    </w:rPr>
  </w:style>
  <w:style w:type="table" w:styleId="776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5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6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7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8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9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0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2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3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4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5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6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7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basedOn w:val="919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basedOn w:val="919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character" w:styleId="922">
    <w:name w:val="Hyperlink"/>
    <w:uiPriority w:val="99"/>
    <w:unhideWhenUsed/>
    <w:rPr>
      <w:rFonts w:cs="Times New Roman"/>
      <w:color w:val="0563c1"/>
      <w:u w:val="single"/>
    </w:rPr>
  </w:style>
  <w:style w:type="character" w:styleId="923" w:customStyle="1">
    <w:name w:val="Неразрешенное упоминание1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924">
    <w:name w:val="Balloon Text"/>
    <w:basedOn w:val="918"/>
    <w:link w:val="92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link w:val="924"/>
    <w:uiPriority w:val="99"/>
    <w:semiHidden/>
    <w:rPr>
      <w:rFonts w:ascii="Segoe UI" w:hAnsi="Segoe UI" w:cs="Segoe UI"/>
      <w:sz w:val="18"/>
      <w:szCs w:val="18"/>
    </w:rPr>
  </w:style>
  <w:style w:type="character" w:styleId="926">
    <w:name w:val="annotation reference"/>
    <w:uiPriority w:val="99"/>
    <w:semiHidden/>
    <w:unhideWhenUsed/>
    <w:rPr>
      <w:sz w:val="16"/>
      <w:szCs w:val="16"/>
    </w:rPr>
  </w:style>
  <w:style w:type="paragraph" w:styleId="927">
    <w:name w:val="annotation text"/>
    <w:basedOn w:val="918"/>
    <w:link w:val="928"/>
    <w:uiPriority w:val="99"/>
    <w:semiHidden/>
    <w:unhideWhenUsed/>
    <w:rPr>
      <w:sz w:val="20"/>
      <w:szCs w:val="20"/>
    </w:rPr>
  </w:style>
  <w:style w:type="character" w:styleId="928" w:customStyle="1">
    <w:name w:val="Текст примечания Знак"/>
    <w:basedOn w:val="919"/>
    <w:link w:val="927"/>
    <w:uiPriority w:val="99"/>
    <w:semiHidden/>
  </w:style>
  <w:style w:type="paragraph" w:styleId="929">
    <w:name w:val="annotation subject"/>
    <w:basedOn w:val="927"/>
    <w:next w:val="927"/>
    <w:link w:val="930"/>
    <w:uiPriority w:val="99"/>
    <w:semiHidden/>
    <w:unhideWhenUsed/>
    <w:rPr>
      <w:b/>
      <w:bCs/>
    </w:rPr>
  </w:style>
  <w:style w:type="character" w:styleId="930" w:customStyle="1">
    <w:name w:val="Тема примечания Знак"/>
    <w:link w:val="929"/>
    <w:uiPriority w:val="99"/>
    <w:semiHidden/>
    <w:rPr>
      <w:b/>
      <w:bCs/>
    </w:rPr>
  </w:style>
  <w:style w:type="paragraph" w:styleId="931">
    <w:name w:val="Revision"/>
    <w:hidden/>
    <w:uiPriority w:val="99"/>
    <w:semiHidden/>
    <w:rPr>
      <w:sz w:val="22"/>
      <w:szCs w:val="22"/>
    </w:rPr>
  </w:style>
  <w:style w:type="paragraph" w:styleId="932">
    <w:name w:val="List Paragraph"/>
    <w:basedOn w:val="918"/>
    <w:link w:val="933"/>
    <w:uiPriority w:val="34"/>
    <w:qFormat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styleId="933" w:customStyle="1">
    <w:name w:val="Абзац списка Знак"/>
    <w:link w:val="932"/>
    <w:uiPriority w:val="34"/>
    <w:rPr>
      <w:rFonts w:ascii="Times New Roman" w:hAnsi="Times New Roman"/>
      <w:sz w:val="24"/>
      <w:szCs w:val="24"/>
      <w:lang w:eastAsia="en-US"/>
    </w:rPr>
  </w:style>
  <w:style w:type="character" w:styleId="934" w:customStyle="1">
    <w:name w:val="Font Style21"/>
    <w:basedOn w:val="919"/>
    <w:uiPriority w:val="99"/>
    <w:rPr>
      <w:rFonts w:ascii="Arial" w:hAnsi="Arial" w:cs="Arial"/>
      <w:sz w:val="16"/>
      <w:szCs w:val="16"/>
    </w:rPr>
  </w:style>
  <w:style w:type="paragraph" w:styleId="935" w:customStyle="1">
    <w:name w:val="ПрилТекст1"/>
    <w:basedOn w:val="918"/>
    <w:pPr>
      <w:numPr>
        <w:ilvl w:val="0"/>
        <w:numId w:val="24"/>
      </w:numPr>
      <w:jc w:val="both"/>
      <w:spacing w:before="60" w:after="0" w:line="240" w:lineRule="auto"/>
    </w:pPr>
    <w:rPr>
      <w:rFonts w:ascii="Times New Roman" w:hAnsi="Times New Roman"/>
      <w:sz w:val="26"/>
      <w:szCs w:val="20"/>
    </w:rPr>
  </w:style>
  <w:style w:type="paragraph" w:styleId="936" w:customStyle="1">
    <w:name w:val="ПрилТекст2"/>
    <w:basedOn w:val="918"/>
    <w:pPr>
      <w:numPr>
        <w:ilvl w:val="1"/>
        <w:numId w:val="24"/>
      </w:numPr>
      <w:jc w:val="both"/>
      <w:spacing w:before="60" w:after="0" w:line="240" w:lineRule="auto"/>
    </w:pPr>
    <w:rPr>
      <w:rFonts w:ascii="Times New Roman" w:hAnsi="Times New Roman"/>
      <w:sz w:val="26"/>
      <w:szCs w:val="20"/>
    </w:rPr>
  </w:style>
  <w:style w:type="paragraph" w:styleId="937" w:customStyle="1">
    <w:name w:val="ПрилТекст3"/>
    <w:basedOn w:val="918"/>
    <w:pPr>
      <w:numPr>
        <w:ilvl w:val="2"/>
        <w:numId w:val="24"/>
      </w:numPr>
      <w:jc w:val="both"/>
      <w:spacing w:before="60" w:after="0" w:line="240" w:lineRule="auto"/>
    </w:pPr>
    <w:rPr>
      <w:rFonts w:ascii="Times New Roman" w:hAnsi="Times New Roman"/>
      <w:sz w:val="26"/>
      <w:szCs w:val="20"/>
    </w:rPr>
  </w:style>
  <w:style w:type="paragraph" w:styleId="938">
    <w:name w:val="Normal (Web)"/>
    <w:basedOn w:val="91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39">
    <w:name w:val="Body Text"/>
    <w:basedOn w:val="918"/>
    <w:link w:val="940"/>
    <w:pPr>
      <w:spacing w:after="140" w:line="276" w:lineRule="auto"/>
    </w:pPr>
  </w:style>
  <w:style w:type="character" w:styleId="940" w:customStyle="1">
    <w:name w:val="Основной текст Знак"/>
    <w:basedOn w:val="919"/>
    <w:link w:val="939"/>
    <w:rPr>
      <w:sz w:val="22"/>
      <w:szCs w:val="22"/>
    </w:rPr>
  </w:style>
  <w:style w:type="paragraph" w:styleId="941" w:customStyle="1">
    <w:name w:val="Содержимое таблицы"/>
    <w:basedOn w:val="918"/>
    <w:qFormat/>
    <w:pPr>
      <w:widowControl w:val="off"/>
      <w:suppressLineNumbers/>
    </w:pPr>
  </w:style>
  <w:style w:type="character" w:styleId="942" w:customStyle="1">
    <w:name w:val="Неразрешенное упоминание2"/>
    <w:basedOn w:val="919"/>
    <w:uiPriority w:val="99"/>
    <w:semiHidden/>
    <w:unhideWhenUsed/>
    <w:rPr>
      <w:color w:val="605e5c"/>
      <w:shd w:val="clear" w:color="auto" w:fill="e1dfdd"/>
    </w:rPr>
  </w:style>
  <w:style w:type="character" w:styleId="943">
    <w:name w:val="FollowedHyperlink"/>
    <w:basedOn w:val="919"/>
    <w:uiPriority w:val="99"/>
    <w:semiHidden/>
    <w:unhideWhenUsed/>
    <w:rPr>
      <w:color w:val="954f72" w:themeColor="followedHyperlink"/>
      <w:u w:val="single"/>
    </w:rPr>
  </w:style>
  <w:style w:type="table" w:styleId="944">
    <w:name w:val="Table Grid"/>
    <w:basedOn w:val="92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5">
    <w:name w:val="Strong"/>
    <w:basedOn w:val="91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hotline@interrao.ru" TargetMode="External"/><Relationship Id="rId12" Type="http://schemas.openxmlformats.org/officeDocument/2006/relationships/hyperlink" Target="consultantplus://offline/ref=1ED926C427C39AC8B4A2C047CF32E07575853E0CBFE38D3B67FC8E7F8DA23A34E3C771A1CB28C283941D4505AB2E6195E2650623CFB118F6X7OB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26052-288D-4117-B758-D6414340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4-3</dc:title>
  <dc:subject/>
  <dc:creator>Озерова Ольга Алексеевна</dc:creator>
  <cp:keywords/>
  <dc:description/>
  <cp:lastModifiedBy>knyazeva_vd</cp:lastModifiedBy>
  <cp:revision>5</cp:revision>
  <dcterms:created xsi:type="dcterms:W3CDTF">2025-11-28T10:26:00Z</dcterms:created>
  <dcterms:modified xsi:type="dcterms:W3CDTF">2025-12-01T13:12:54Z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gic_key">
    <vt:lpwstr/>
  </property>
  <property fmtid="{D5CDD505-2E9C-101B-9397-08002B2CF9AE}" pid="3" name="CustomObjectId">
    <vt:lpwstr/>
  </property>
  <property fmtid="{D5CDD505-2E9C-101B-9397-08002B2CF9AE}" pid="4" name="CustomServerURL">
    <vt:lpwstr/>
  </property>
  <property fmtid="{D5CDD505-2E9C-101B-9397-08002B2CF9AE}" pid="5" name="CustomUserId">
    <vt:lpwstr/>
  </property>
  <property fmtid="{D5CDD505-2E9C-101B-9397-08002B2CF9AE}" pid="6" name="CustomObjectState">
    <vt:lpwstr/>
  </property>
  <property fmtid="{D5CDD505-2E9C-101B-9397-08002B2CF9AE}" pid="7" name="MacrosDisabled">
    <vt:lpwstr/>
  </property>
  <property fmtid="{D5CDD505-2E9C-101B-9397-08002B2CF9AE}" pid="8" name="ConfirmationToolBarEnabled">
    <vt:lpwstr/>
  </property>
</Properties>
</file>