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pacing w:after="240"/>
        <w:rPr>
          <w:b/>
          <w:bCs/>
        </w:rPr>
      </w:pPr>
      <w:r/>
      <w:bookmarkStart w:id="0" w:name="_Toc409514472"/>
      <w:r>
        <w:rPr>
          <w:b/>
          <w:bCs/>
        </w:rPr>
        <w:t xml:space="preserve">Приложение №1 к Закупочной документации</w:t>
      </w:r>
      <w:r>
        <w:rPr>
          <w:b/>
          <w:bCs/>
        </w:rPr>
      </w:r>
    </w:p>
    <w:p>
      <w:pPr>
        <w:jc w:val="center"/>
        <w:spacing w:after="240"/>
        <w:rPr>
          <w:b/>
          <w:bCs/>
        </w:rPr>
      </w:pPr>
      <w:r>
        <w:rPr>
          <w:b/>
          <w:bCs/>
        </w:rPr>
        <w:t xml:space="preserve">ТЕХНИЧЕСКОЕ ЗАДАНИЕ</w:t>
      </w:r>
      <w:r>
        <w:rPr>
          <w:b/>
          <w:bCs/>
        </w:rPr>
      </w:r>
    </w:p>
    <w:p>
      <w:pPr>
        <w:jc w:val="center"/>
      </w:pPr>
      <w:r>
        <w:t xml:space="preserve">на оказание услуг по проведению</w:t>
      </w:r>
      <w:r/>
    </w:p>
    <w:p>
      <w:pPr>
        <w:jc w:val="center"/>
        <w:rPr>
          <w:i/>
        </w:rPr>
      </w:pPr>
      <w:r>
        <w:rPr>
          <w:i/>
        </w:rPr>
        <w:t xml:space="preserve"> «Лабораторных исследований качества питьевой воды в 2025-2026 годах»</w:t>
      </w:r>
      <w:r>
        <w:rPr>
          <w:i/>
        </w:rPr>
      </w:r>
    </w:p>
    <w:p>
      <w:pPr>
        <w:jc w:val="both"/>
        <w:spacing w:before="240" w:after="240"/>
        <w:tabs>
          <w:tab w:val="left" w:pos="567" w:leader="none"/>
        </w:tabs>
        <w:rPr>
          <w:b/>
        </w:rPr>
      </w:pPr>
      <w:r>
        <w:rPr>
          <w:b/>
        </w:rPr>
        <w:t xml:space="preserve">1. Наименование услуг (номенклатура) и перечень объектов, на которых будут оказываться услуги</w:t>
      </w:r>
      <w:r>
        <w:rPr>
          <w:b/>
        </w:rPr>
      </w:r>
    </w:p>
    <w:p>
      <w:pPr>
        <w:ind w:firstLine="567"/>
        <w:jc w:val="both"/>
      </w:pPr>
      <w:r>
        <w:t xml:space="preserve">Проведение лабораторных исследований качества питьевой воды внутренней водопроводной сети централизованной системы водоснабжения, а также проведение санитарно-эпидемиологической экспертизы по результатам исследований питьевой воды.</w:t>
      </w:r>
      <w:r/>
    </w:p>
    <w:p>
      <w:pPr>
        <w:ind w:firstLine="567"/>
        <w:jc w:val="both"/>
      </w:pPr>
      <w:r>
        <w:t xml:space="preserve">Отбор проб холодной и горячей воды осуществляется </w:t>
      </w:r>
      <w:r>
        <w:rPr>
          <w:szCs w:val="28"/>
        </w:rPr>
        <w:t xml:space="preserve">Исполнителем </w:t>
      </w:r>
      <w:r>
        <w:t xml:space="preserve">на территории Заказчика, по адресу: г. Санкт-Петербург, ул. Михайлова д. 11.</w:t>
      </w:r>
      <w:r/>
    </w:p>
    <w:p>
      <w:pPr>
        <w:jc w:val="both"/>
        <w:spacing w:before="240" w:after="240"/>
        <w:rPr>
          <w:b/>
          <w:bCs/>
        </w:rPr>
      </w:pPr>
      <w:r>
        <w:rPr>
          <w:b/>
          <w:bCs/>
        </w:rPr>
        <w:t xml:space="preserve">2. Общие требования</w:t>
      </w:r>
      <w:r>
        <w:rPr>
          <w:b/>
          <w:bCs/>
        </w:rPr>
      </w:r>
    </w:p>
    <w:p>
      <w:pPr>
        <w:jc w:val="both"/>
        <w:spacing w:before="240" w:after="240"/>
        <w:tabs>
          <w:tab w:val="left" w:pos="567" w:leader="none"/>
          <w:tab w:val="left" w:pos="1260" w:leader="none"/>
        </w:tabs>
        <w:rPr>
          <w:b/>
        </w:rPr>
      </w:pPr>
      <w:r>
        <w:rPr>
          <w:b/>
        </w:rPr>
        <w:t xml:space="preserve">2.1. Основание для оказания</w:t>
      </w:r>
      <w:r>
        <w:t xml:space="preserve"> </w:t>
      </w:r>
      <w:r>
        <w:rPr>
          <w:b/>
        </w:rPr>
        <w:t xml:space="preserve">услуг</w:t>
      </w:r>
      <w:r>
        <w:rPr>
          <w:b/>
        </w:rPr>
      </w:r>
    </w:p>
    <w:p>
      <w:pPr>
        <w:pStyle w:val="859"/>
        <w:ind w:firstLine="567"/>
        <w:jc w:val="both"/>
      </w:pPr>
      <w:r>
        <w:t xml:space="preserve">Услуга оказывается в соответствии с требованиями Федерального закона от 30.03.1999 №52-ФЗ "О санитарно-эпидемиологическом благополучии населения".</w:t>
      </w:r>
      <w:r/>
    </w:p>
    <w:p>
      <w:pPr>
        <w:jc w:val="both"/>
        <w:spacing w:before="240" w:after="240"/>
        <w:tabs>
          <w:tab w:val="left" w:pos="567" w:leader="none"/>
        </w:tabs>
        <w:rPr>
          <w:b/>
        </w:rPr>
      </w:pPr>
      <w:r>
        <w:rPr>
          <w:b/>
        </w:rPr>
        <w:t xml:space="preserve">2.2. Требования к срокам оказания услуг</w:t>
      </w:r>
      <w:r>
        <w:rPr>
          <w:b/>
        </w:rPr>
      </w:r>
    </w:p>
    <w:p>
      <w:pPr>
        <w:pStyle w:val="859"/>
      </w:pPr>
      <w:r>
        <w:t xml:space="preserve">Сроки оказания услуг по Договору:</w:t>
      </w:r>
      <w:r/>
    </w:p>
    <w:p>
      <w:pPr>
        <w:pStyle w:val="859"/>
      </w:pPr>
      <w:r>
        <w:t xml:space="preserve">- начало оказания услуг: 1 февраля 2025 года;</w:t>
      </w:r>
      <w:r/>
    </w:p>
    <w:p>
      <w:pPr>
        <w:pStyle w:val="859"/>
      </w:pPr>
      <w:r>
        <w:t xml:space="preserve">- окончание оказания услуг: 31 декабря 2026 года.</w:t>
      </w:r>
      <w:r/>
    </w:p>
    <w:p>
      <w:pPr>
        <w:jc w:val="both"/>
        <w:spacing w:before="240" w:after="240"/>
        <w:tabs>
          <w:tab w:val="left" w:pos="567" w:leader="none"/>
          <w:tab w:val="left" w:pos="1260" w:leader="none"/>
        </w:tabs>
        <w:rPr>
          <w:b/>
        </w:rPr>
      </w:pPr>
      <w:r>
        <w:rPr>
          <w:b/>
        </w:rPr>
        <w:t xml:space="preserve">2.3. Нормативные требования к качеству услуг, их результату.</w:t>
      </w:r>
      <w:r>
        <w:rPr>
          <w:b/>
        </w:rPr>
      </w:r>
    </w:p>
    <w:p>
      <w:pPr>
        <w:ind w:firstLine="567"/>
        <w:jc w:val="both"/>
        <w:tabs>
          <w:tab w:val="left" w:pos="0" w:leader="none"/>
        </w:tabs>
      </w:pPr>
      <w:r>
        <w:t xml:space="preserve">Лабораторные исследования качества питьевой воды должны быть проведены с соблюдением нормативно-правовых актов РФ, регулирующий данный вид деятельности, включая, но не ограничиваясь:</w:t>
      </w:r>
      <w:r/>
    </w:p>
    <w:p>
      <w:pPr>
        <w:pStyle w:val="860"/>
        <w:numPr>
          <w:ilvl w:val="0"/>
          <w:numId w:val="6"/>
        </w:numPr>
        <w:ind w:left="0" w:firstLine="0"/>
        <w:jc w:val="both"/>
        <w:tabs>
          <w:tab w:val="left" w:pos="0" w:leader="none"/>
        </w:tabs>
      </w:pPr>
      <w:r>
        <w:t xml:space="preserve">Федеральный закон от 30.03.1999 № 52-ФЗ «О санитарно-эпидемиологическом благополучии населения»;</w:t>
      </w:r>
      <w:r/>
    </w:p>
    <w:p>
      <w:pPr>
        <w:pStyle w:val="860"/>
        <w:numPr>
          <w:ilvl w:val="0"/>
          <w:numId w:val="6"/>
        </w:numPr>
        <w:ind w:left="0" w:firstLine="0"/>
        <w:jc w:val="both"/>
        <w:tabs>
          <w:tab w:val="left" w:pos="0" w:leader="none"/>
        </w:tabs>
        <w:rPr>
          <w:lang w:eastAsia="ru-RU"/>
        </w:rPr>
      </w:pPr>
      <w:r>
        <w:rPr>
          <w:lang w:eastAsia="ru-RU"/>
        </w:rPr>
        <w:t xml:space="preserve">СанПиН </w:t>
      </w:r>
      <w:r>
        <w:t xml:space="preserve">1.2.3685-21</w:t>
      </w:r>
      <w:r>
        <w:rPr>
          <w:lang w:eastAsia="ru-RU"/>
        </w:rPr>
        <w:t xml:space="preserve"> «</w:t>
      </w:r>
      <w:r>
        <w:t xml:space="preserve">Гигиенические нормативы и требования к обеспечению безопасности и (или) безвредности для человека факторов среды обитания</w:t>
      </w:r>
      <w:r>
        <w:rPr>
          <w:lang w:eastAsia="ru-RU"/>
        </w:rPr>
        <w:t xml:space="preserve">».</w:t>
      </w:r>
      <w:r>
        <w:rPr>
          <w:lang w:eastAsia="ru-RU"/>
        </w:rPr>
      </w:r>
    </w:p>
    <w:p>
      <w:pPr>
        <w:pStyle w:val="860"/>
        <w:numPr>
          <w:ilvl w:val="0"/>
          <w:numId w:val="6"/>
        </w:numPr>
        <w:ind w:left="0" w:firstLine="0"/>
        <w:jc w:val="both"/>
        <w:tabs>
          <w:tab w:val="left" w:pos="0" w:leader="none"/>
        </w:tabs>
        <w:rPr>
          <w:lang w:eastAsia="ru-RU"/>
        </w:rPr>
      </w:pPr>
      <w:r>
        <w:rPr>
          <w:lang w:eastAsia="ru-RU"/>
        </w:rPr>
        <w:t xml:space="preserve">СанПиН </w:t>
      </w:r>
      <w:r>
        <w:t xml:space="preserve">2.1.3684-21 "Санитарно-эпидемиологические требования к содержанию территорий городских и сельских посел</w:t>
      </w:r>
      <w:r>
        <w:t xml:space="preserve">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мероприятий"</w:t>
      </w:r>
      <w:r>
        <w:rPr>
          <w:lang w:eastAsia="ru-RU"/>
        </w:rPr>
        <w:t xml:space="preserve">.</w:t>
      </w:r>
      <w:r>
        <w:rPr>
          <w:lang w:eastAsia="ru-RU"/>
        </w:rPr>
      </w:r>
    </w:p>
    <w:p>
      <w:pPr>
        <w:jc w:val="both"/>
        <w:spacing w:before="240" w:after="240"/>
        <w:tabs>
          <w:tab w:val="left" w:pos="567" w:leader="none"/>
        </w:tabs>
        <w:rPr>
          <w:b/>
        </w:rPr>
      </w:pPr>
      <w:r>
        <w:rPr>
          <w:b/>
        </w:rPr>
        <w:t xml:space="preserve">3. Требования к оказанию услуг</w:t>
      </w:r>
      <w:r>
        <w:rPr>
          <w:b/>
        </w:rPr>
      </w:r>
    </w:p>
    <w:p>
      <w:pPr>
        <w:jc w:val="both"/>
        <w:spacing w:before="240" w:after="240"/>
        <w:tabs>
          <w:tab w:val="left" w:pos="567" w:leader="none"/>
        </w:tabs>
        <w:rPr>
          <w:b/>
        </w:rPr>
      </w:pPr>
      <w:r>
        <w:rPr>
          <w:b/>
        </w:rPr>
        <w:t xml:space="preserve">3.1. </w:t>
      </w:r>
      <w:r>
        <w:rPr>
          <w:b/>
        </w:rPr>
        <w:tab/>
        <w:t xml:space="preserve">Объем оказываемых услуг</w:t>
      </w:r>
      <w:r>
        <w:rPr>
          <w:b/>
        </w:rPr>
      </w:r>
    </w:p>
    <w:p>
      <w:pPr>
        <w:ind w:firstLine="851"/>
        <w:jc w:val="both"/>
        <w:spacing w:before="240" w:after="240"/>
        <w:tabs>
          <w:tab w:val="left" w:pos="567" w:leader="none"/>
        </w:tabs>
      </w:pPr>
      <w:r>
        <w:t xml:space="preserve">Лабораторные исследования качества питьевой воды проводятся ежеквартально, отбор проб питьевой воды осуществляется в точках водоразбора внутренней распределительной сети, перечень определяемых показателей для холодной и горячей воды приведен в Таблице 1.</w:t>
      </w:r>
      <w:r/>
    </w:p>
    <w:p>
      <w:pPr>
        <w:ind w:firstLine="851"/>
        <w:jc w:val="both"/>
        <w:spacing w:before="240" w:after="240"/>
        <w:tabs>
          <w:tab w:val="left" w:pos="567" w:leader="none"/>
        </w:tabs>
      </w:pPr>
      <w:r>
        <w:t xml:space="preserve">По результатам лабораторных исследований качества питьевой воды проводится экспертизы о соответствии/не соответствии качества питьевой воды гигиеническим нормативам.</w:t>
      </w:r>
      <w:r/>
    </w:p>
    <w:p>
      <w:pPr>
        <w:ind w:firstLine="851"/>
        <w:jc w:val="right"/>
        <w:spacing w:before="240" w:after="240"/>
        <w:tabs>
          <w:tab w:val="left" w:pos="567" w:leader="none"/>
        </w:tabs>
        <w:rPr>
          <w:b/>
        </w:rPr>
      </w:pPr>
      <w:r>
        <w:rPr>
          <w:b/>
        </w:rPr>
      </w:r>
      <w:r>
        <w:rPr>
          <w:b/>
        </w:rPr>
      </w:r>
    </w:p>
    <w:p>
      <w:pPr>
        <w:ind w:firstLine="851"/>
        <w:jc w:val="right"/>
        <w:spacing w:before="240" w:after="240"/>
        <w:tabs>
          <w:tab w:val="left" w:pos="567" w:leader="none"/>
        </w:tabs>
        <w:rPr>
          <w:b/>
          <w:bCs/>
        </w:rPr>
      </w:pPr>
      <w:r>
        <w:rPr>
          <w:b/>
        </w:rPr>
        <w:t xml:space="preserve">Таблица 1.</w:t>
      </w:r>
      <w:r>
        <w:rPr>
          <w:b/>
          <w:bCs/>
        </w:rPr>
      </w:r>
    </w:p>
    <w:tbl>
      <w:tblPr>
        <w:tblW w:w="10573" w:type="dxa"/>
        <w:jc w:val="center"/>
        <w:tblLook w:val="04A0" w:firstRow="1" w:lastRow="0" w:firstColumn="1" w:lastColumn="0" w:noHBand="0" w:noVBand="1"/>
      </w:tblPr>
      <w:tblGrid>
        <w:gridCol w:w="636"/>
        <w:gridCol w:w="3775"/>
        <w:gridCol w:w="1110"/>
        <w:gridCol w:w="1110"/>
        <w:gridCol w:w="1110"/>
        <w:gridCol w:w="1110"/>
        <w:gridCol w:w="1722"/>
      </w:tblGrid>
      <w:tr>
        <w:tblPrEx/>
        <w:trPr>
          <w:jc w:val="center"/>
          <w:trHeight w:val="300"/>
        </w:trPr>
        <w:tc>
          <w:tcPr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3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/>
            <w:bookmarkStart w:id="1" w:name="_Hlk116395699"/>
            <w:r>
              <w:rPr>
                <w:color w:val="000000"/>
                <w:lang w:eastAsia="ru-RU"/>
              </w:rPr>
              <w:t xml:space="preserve">№ п/п</w:t>
            </w:r>
            <w:r>
              <w:rPr>
                <w:color w:val="00000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37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Определяемые показатели</w:t>
            </w:r>
            <w:r>
              <w:rPr>
                <w:color w:val="000000"/>
                <w:lang w:eastAsia="ru-RU"/>
              </w:rPr>
            </w:r>
          </w:p>
        </w:tc>
        <w:tc>
          <w:tcPr>
            <w:gridSpan w:val="4"/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44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Количество точек замеров</w:t>
            </w:r>
            <w:r>
              <w:rPr>
                <w:color w:val="00000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17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Всего Количество замеров в </w:t>
            </w:r>
            <w:r>
              <w:rPr>
                <w:b/>
                <w:color w:val="000000"/>
                <w:lang w:eastAsia="ru-RU"/>
              </w:rPr>
              <w:t xml:space="preserve">год</w:t>
            </w:r>
            <w:r>
              <w:rPr>
                <w:color w:val="000000"/>
                <w:lang w:eastAsia="ru-RU"/>
              </w:rPr>
            </w:r>
          </w:p>
        </w:tc>
      </w:tr>
      <w:tr>
        <w:tblPrEx/>
        <w:trPr>
          <w:jc w:val="center"/>
          <w:trHeight w:val="48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36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3775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11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 xml:space="preserve">1 квартал </w:t>
            </w:r>
            <w:r>
              <w:rPr>
                <w:b/>
                <w:bCs/>
                <w:color w:val="00000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11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 xml:space="preserve">2 квартал </w:t>
            </w:r>
            <w:r>
              <w:rPr>
                <w:b/>
                <w:bCs/>
                <w:color w:val="00000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11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 xml:space="preserve">3 квартал </w:t>
            </w:r>
            <w:r>
              <w:rPr>
                <w:b/>
                <w:bCs/>
                <w:color w:val="00000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11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 xml:space="preserve">4 квартал </w:t>
            </w:r>
            <w:r>
              <w:rPr>
                <w:b/>
                <w:bCs/>
                <w:color w:val="00000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1722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</w:tr>
      <w:tr>
        <w:tblPrEx/>
        <w:trPr>
          <w:jc w:val="center"/>
          <w:trHeight w:val="27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36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75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1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усл.ед</w:t>
            </w:r>
            <w:r>
              <w:rPr>
                <w:color w:val="000000"/>
                <w:lang w:eastAsia="ru-RU"/>
              </w:rPr>
              <w:t xml:space="preserve">.</w:t>
            </w:r>
            <w:r>
              <w:rPr>
                <w:color w:val="00000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1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усл.ед</w:t>
            </w:r>
            <w:r>
              <w:rPr>
                <w:color w:val="000000"/>
                <w:lang w:eastAsia="ru-RU"/>
              </w:rPr>
              <w:t xml:space="preserve">.</w:t>
            </w:r>
            <w:r>
              <w:rPr>
                <w:color w:val="00000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1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усл.ед</w:t>
            </w:r>
            <w:r>
              <w:rPr>
                <w:color w:val="000000"/>
                <w:lang w:eastAsia="ru-RU"/>
              </w:rPr>
              <w:t xml:space="preserve">.</w:t>
            </w:r>
            <w:r>
              <w:rPr>
                <w:color w:val="00000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1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усл.ед</w:t>
            </w:r>
            <w:r>
              <w:rPr>
                <w:color w:val="000000"/>
                <w:lang w:eastAsia="ru-RU"/>
              </w:rPr>
              <w:t xml:space="preserve">.</w:t>
            </w:r>
            <w:r>
              <w:rPr>
                <w:color w:val="00000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2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усл.ед</w:t>
            </w:r>
            <w:r>
              <w:rPr>
                <w:color w:val="000000"/>
                <w:lang w:eastAsia="ru-RU"/>
              </w:rPr>
              <w:t xml:space="preserve">.</w:t>
            </w:r>
            <w:r>
              <w:rPr>
                <w:color w:val="000000"/>
                <w:lang w:eastAsia="ru-RU"/>
              </w:rPr>
            </w:r>
          </w:p>
        </w:tc>
      </w:tr>
      <w:tr>
        <w:tblPrEx/>
        <w:trPr>
          <w:jc w:val="center"/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3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1</w:t>
            </w:r>
            <w:r>
              <w:rPr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775" w:type="dxa"/>
            <w:vAlign w:val="center"/>
            <w:textDirection w:val="lrTb"/>
            <w:noWrap w:val="false"/>
          </w:tcPr>
          <w:tbl>
            <w:tblPr>
              <w:tblW w:w="0" w:type="auto"/>
              <w:tblBorders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tblBorders>
              <w:tblLook w:val="0000" w:firstRow="0" w:lastRow="0" w:firstColumn="0" w:lastColumn="0" w:noHBand="0" w:noVBand="0"/>
            </w:tblPr>
            <w:tblGrid>
              <w:gridCol w:w="3559"/>
            </w:tblGrid>
            <w:tr>
              <w:tblPrEx/>
              <w:trPr>
                <w:trHeight w:val="353"/>
              </w:trPr>
              <w:tc>
                <w:tcPr>
                  <w:tcW w:w="0" w:type="auto"/>
                  <w:textDirection w:val="lrTb"/>
                  <w:noWrap w:val="false"/>
                </w:tcPr>
                <w:p>
                  <w:pPr>
                    <w:rPr>
                      <w:sz w:val="22"/>
                      <w:szCs w:val="22"/>
                    </w:rPr>
                  </w:pPr>
                  <w:r>
                    <w:rPr>
                      <w:color w:val="000000"/>
                      <w:lang w:eastAsia="ru-RU"/>
                    </w:rPr>
                    <w:t xml:space="preserve">Исследование питьевой воды (мембранный метод) ОМЧ, ОКБ, </w:t>
                  </w:r>
                  <w:r>
                    <w:rPr>
                      <w:color w:val="000000"/>
                      <w:lang w:eastAsia="ru-RU"/>
                    </w:rPr>
                    <w:t xml:space="preserve">E.coli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</w:r>
                </w:p>
              </w:tc>
            </w:tr>
          </w:tbl>
          <w:p>
            <w:pPr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10" w:type="dxa"/>
            <w:textDirection w:val="lrTb"/>
            <w:noWrap w:val="false"/>
          </w:tcPr>
          <w:p>
            <w:r>
              <w:rPr>
                <w:color w:val="000000"/>
                <w:lang w:eastAsia="ru-RU"/>
              </w:rPr>
              <w:t xml:space="preserve">50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10" w:type="dxa"/>
            <w:textDirection w:val="lrTb"/>
            <w:noWrap w:val="false"/>
          </w:tcPr>
          <w:p>
            <w:r>
              <w:rPr>
                <w:color w:val="000000"/>
                <w:lang w:eastAsia="ru-RU"/>
              </w:rPr>
              <w:t xml:space="preserve">50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10" w:type="dxa"/>
            <w:textDirection w:val="lrTb"/>
            <w:noWrap w:val="false"/>
          </w:tcPr>
          <w:p>
            <w:r>
              <w:rPr>
                <w:color w:val="000000"/>
                <w:lang w:eastAsia="ru-RU"/>
              </w:rPr>
              <w:t xml:space="preserve">50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10" w:type="dxa"/>
            <w:textDirection w:val="lrTb"/>
            <w:noWrap w:val="false"/>
          </w:tcPr>
          <w:p>
            <w:r>
              <w:rPr>
                <w:color w:val="000000"/>
                <w:lang w:eastAsia="ru-RU"/>
              </w:rPr>
              <w:t xml:space="preserve">50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2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200</w:t>
            </w:r>
            <w:r>
              <w:rPr>
                <w:color w:val="000000"/>
                <w:lang w:eastAsia="ru-RU"/>
              </w:rPr>
            </w:r>
          </w:p>
        </w:tc>
      </w:tr>
      <w:tr>
        <w:tblPrEx/>
        <w:trPr>
          <w:jc w:val="center"/>
          <w:trHeight w:val="259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63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2</w:t>
            </w:r>
            <w:r>
              <w:rPr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75" w:type="dxa"/>
            <w:vAlign w:val="center"/>
            <w:textDirection w:val="lrTb"/>
            <w:noWrap w:val="false"/>
          </w:tcPr>
          <w:p>
            <w:pPr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Колифаги</w:t>
            </w:r>
            <w:r>
              <w:rPr>
                <w:color w:val="000000"/>
                <w:lang w:eastAsia="ru-RU"/>
              </w:rPr>
              <w:t xml:space="preserve"> (холодная и горячая вода)</w:t>
            </w:r>
            <w:r>
              <w:rPr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10" w:type="dxa"/>
            <w:textDirection w:val="lrTb"/>
            <w:noWrap w:val="false"/>
          </w:tcPr>
          <w:p>
            <w:r>
              <w:rPr>
                <w:color w:val="000000"/>
                <w:lang w:eastAsia="ru-RU"/>
              </w:rPr>
              <w:t xml:space="preserve">50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10" w:type="dxa"/>
            <w:textDirection w:val="lrTb"/>
            <w:noWrap w:val="false"/>
          </w:tcPr>
          <w:p>
            <w:r>
              <w:rPr>
                <w:color w:val="000000"/>
                <w:lang w:eastAsia="ru-RU"/>
              </w:rPr>
              <w:t xml:space="preserve">50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10" w:type="dxa"/>
            <w:textDirection w:val="lrTb"/>
            <w:noWrap w:val="false"/>
          </w:tcPr>
          <w:p>
            <w:r>
              <w:rPr>
                <w:color w:val="000000"/>
                <w:lang w:eastAsia="ru-RU"/>
              </w:rPr>
              <w:t xml:space="preserve">50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10" w:type="dxa"/>
            <w:textDirection w:val="lrTb"/>
            <w:noWrap w:val="false"/>
          </w:tcPr>
          <w:p>
            <w:r>
              <w:rPr>
                <w:color w:val="000000"/>
                <w:lang w:eastAsia="ru-RU"/>
              </w:rPr>
              <w:t xml:space="preserve">50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2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200</w:t>
            </w:r>
            <w:r>
              <w:rPr>
                <w:color w:val="000000"/>
                <w:lang w:eastAsia="ru-RU"/>
              </w:rPr>
            </w:r>
          </w:p>
        </w:tc>
      </w:tr>
      <w:tr>
        <w:tblPrEx/>
        <w:trPr>
          <w:jc w:val="center"/>
          <w:trHeight w:val="259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63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3</w:t>
            </w:r>
            <w:r>
              <w:rPr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75" w:type="dxa"/>
            <w:vAlign w:val="center"/>
            <w:textDirection w:val="lrTb"/>
            <w:noWrap w:val="false"/>
          </w:tcPr>
          <w:p>
            <w:pPr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Энтерококки (холодная и горячая вода)</w:t>
            </w:r>
            <w:r>
              <w:rPr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10" w:type="dxa"/>
            <w:textDirection w:val="lrTb"/>
            <w:noWrap w:val="false"/>
          </w:tcPr>
          <w:p>
            <w:r>
              <w:rPr>
                <w:color w:val="000000"/>
                <w:lang w:eastAsia="ru-RU"/>
              </w:rPr>
              <w:t xml:space="preserve">50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10" w:type="dxa"/>
            <w:textDirection w:val="lrTb"/>
            <w:noWrap w:val="false"/>
          </w:tcPr>
          <w:p>
            <w:r>
              <w:rPr>
                <w:color w:val="000000"/>
                <w:lang w:eastAsia="ru-RU"/>
              </w:rPr>
              <w:t xml:space="preserve">50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10" w:type="dxa"/>
            <w:textDirection w:val="lrTb"/>
            <w:noWrap w:val="false"/>
          </w:tcPr>
          <w:p>
            <w:r>
              <w:rPr>
                <w:color w:val="000000"/>
                <w:lang w:eastAsia="ru-RU"/>
              </w:rPr>
              <w:t xml:space="preserve">50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10" w:type="dxa"/>
            <w:textDirection w:val="lrTb"/>
            <w:noWrap w:val="false"/>
          </w:tcPr>
          <w:p>
            <w:r>
              <w:rPr>
                <w:color w:val="000000"/>
                <w:lang w:eastAsia="ru-RU"/>
              </w:rPr>
              <w:t xml:space="preserve">50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2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200</w:t>
            </w:r>
            <w:r>
              <w:rPr>
                <w:color w:val="000000"/>
                <w:lang w:eastAsia="ru-RU"/>
              </w:rPr>
            </w:r>
          </w:p>
        </w:tc>
      </w:tr>
      <w:tr>
        <w:tblPrEx/>
        <w:trPr>
          <w:jc w:val="center"/>
          <w:trHeight w:val="259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63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4</w:t>
            </w:r>
            <w:r>
              <w:rPr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75" w:type="dxa"/>
            <w:vAlign w:val="center"/>
            <w:textDirection w:val="lrTb"/>
            <w:noWrap w:val="false"/>
          </w:tcPr>
          <w:p>
            <w:pPr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Споры </w:t>
            </w:r>
            <w:r>
              <w:rPr>
                <w:color w:val="000000"/>
                <w:lang w:eastAsia="ru-RU"/>
              </w:rPr>
              <w:t xml:space="preserve">сульфитредуцирующих</w:t>
            </w:r>
            <w:r>
              <w:rPr>
                <w:color w:val="000000"/>
                <w:lang w:eastAsia="ru-RU"/>
              </w:rPr>
              <w:t xml:space="preserve"> </w:t>
            </w:r>
            <w:r>
              <w:rPr>
                <w:color w:val="000000"/>
                <w:lang w:eastAsia="ru-RU"/>
              </w:rPr>
              <w:t xml:space="preserve">клостридий</w:t>
            </w:r>
            <w:r>
              <w:rPr>
                <w:color w:val="000000"/>
                <w:lang w:eastAsia="ru-RU"/>
              </w:rPr>
              <w:t xml:space="preserve"> (горячая вода)</w:t>
            </w:r>
            <w:r>
              <w:rPr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10" w:type="dxa"/>
            <w:textDirection w:val="lrTb"/>
            <w:noWrap w:val="false"/>
          </w:tcPr>
          <w:p>
            <w:r>
              <w:rPr>
                <w:color w:val="000000"/>
                <w:lang w:eastAsia="ru-RU"/>
              </w:rPr>
              <w:t xml:space="preserve">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10" w:type="dxa"/>
            <w:textDirection w:val="lrTb"/>
            <w:noWrap w:val="false"/>
          </w:tcPr>
          <w:p>
            <w:r>
              <w:rPr>
                <w:color w:val="000000"/>
                <w:lang w:eastAsia="ru-RU"/>
              </w:rPr>
              <w:t xml:space="preserve">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10" w:type="dxa"/>
            <w:textDirection w:val="lrTb"/>
            <w:noWrap w:val="false"/>
          </w:tcPr>
          <w:p>
            <w:r>
              <w:rPr>
                <w:color w:val="000000"/>
                <w:lang w:eastAsia="ru-RU"/>
              </w:rPr>
              <w:t xml:space="preserve">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10" w:type="dxa"/>
            <w:textDirection w:val="lrTb"/>
            <w:noWrap w:val="false"/>
          </w:tcPr>
          <w:p>
            <w:r>
              <w:rPr>
                <w:color w:val="000000"/>
                <w:lang w:eastAsia="ru-RU"/>
              </w:rPr>
              <w:t xml:space="preserve">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2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100</w:t>
            </w:r>
            <w:r>
              <w:rPr>
                <w:color w:val="000000"/>
                <w:lang w:eastAsia="ru-RU"/>
              </w:rPr>
            </w:r>
          </w:p>
        </w:tc>
      </w:tr>
      <w:tr>
        <w:tblPrEx/>
        <w:trPr>
          <w:jc w:val="center"/>
          <w:trHeight w:val="259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63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5</w:t>
            </w:r>
            <w:r>
              <w:rPr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75" w:type="dxa"/>
            <w:vAlign w:val="center"/>
            <w:textDirection w:val="lrTb"/>
            <w:noWrap w:val="false"/>
          </w:tcPr>
          <w:p>
            <w:pPr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Краткий химический анализ горячей воды (запах, цветность, мутность, водородный показатель, железо)</w:t>
            </w:r>
            <w:r>
              <w:rPr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10" w:type="dxa"/>
            <w:textDirection w:val="lrTb"/>
            <w:noWrap w:val="false"/>
          </w:tcPr>
          <w:p>
            <w:r>
              <w:rPr>
                <w:color w:val="000000"/>
                <w:lang w:eastAsia="ru-RU"/>
              </w:rPr>
              <w:t xml:space="preserve">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10" w:type="dxa"/>
            <w:textDirection w:val="lrTb"/>
            <w:noWrap w:val="false"/>
          </w:tcPr>
          <w:p>
            <w:r>
              <w:rPr>
                <w:color w:val="000000"/>
                <w:lang w:eastAsia="ru-RU"/>
              </w:rPr>
              <w:t xml:space="preserve">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10" w:type="dxa"/>
            <w:textDirection w:val="lrTb"/>
            <w:noWrap w:val="false"/>
          </w:tcPr>
          <w:p>
            <w:r>
              <w:rPr>
                <w:color w:val="000000"/>
                <w:lang w:eastAsia="ru-RU"/>
              </w:rPr>
              <w:t xml:space="preserve">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10" w:type="dxa"/>
            <w:textDirection w:val="lrTb"/>
            <w:noWrap w:val="false"/>
          </w:tcPr>
          <w:p>
            <w:r>
              <w:rPr>
                <w:color w:val="000000"/>
                <w:lang w:eastAsia="ru-RU"/>
              </w:rPr>
              <w:t xml:space="preserve">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2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100</w:t>
            </w:r>
            <w:r>
              <w:rPr>
                <w:color w:val="000000"/>
                <w:lang w:eastAsia="ru-RU"/>
              </w:rPr>
            </w:r>
          </w:p>
        </w:tc>
      </w:tr>
      <w:tr>
        <w:tblPrEx/>
        <w:trPr>
          <w:jc w:val="center"/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63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6</w:t>
            </w:r>
            <w:r>
              <w:rPr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75" w:type="dxa"/>
            <w:vAlign w:val="center"/>
            <w:textDirection w:val="lrTb"/>
            <w:noWrap w:val="false"/>
          </w:tcPr>
          <w:p>
            <w:pPr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Краткий химический анализ холодной воды (запах, привкус, цветность, мутность, водородный показатель, железо, алюминий, окисляемость </w:t>
            </w:r>
            <w:r>
              <w:rPr>
                <w:color w:val="000000"/>
                <w:sz w:val="22"/>
                <w:szCs w:val="22"/>
                <w:lang w:eastAsia="ru-RU"/>
              </w:rPr>
              <w:t xml:space="preserve">перманганатная</w:t>
            </w:r>
            <w:r>
              <w:rPr>
                <w:color w:val="000000"/>
                <w:sz w:val="22"/>
                <w:szCs w:val="22"/>
                <w:lang w:eastAsia="ru-RU"/>
              </w:rPr>
              <w:t xml:space="preserve">)</w:t>
            </w:r>
            <w:r>
              <w:rPr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10" w:type="dxa"/>
            <w:textDirection w:val="lrTb"/>
            <w:noWrap w:val="false"/>
          </w:tcPr>
          <w:p>
            <w:r>
              <w:rPr>
                <w:color w:val="000000"/>
                <w:lang w:eastAsia="ru-RU"/>
              </w:rPr>
              <w:t xml:space="preserve">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10" w:type="dxa"/>
            <w:textDirection w:val="lrTb"/>
            <w:noWrap w:val="false"/>
          </w:tcPr>
          <w:p>
            <w:r>
              <w:rPr>
                <w:color w:val="000000"/>
                <w:lang w:eastAsia="ru-RU"/>
              </w:rPr>
              <w:t xml:space="preserve">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10" w:type="dxa"/>
            <w:textDirection w:val="lrTb"/>
            <w:noWrap w:val="false"/>
          </w:tcPr>
          <w:p>
            <w:r>
              <w:rPr>
                <w:color w:val="000000"/>
                <w:lang w:eastAsia="ru-RU"/>
              </w:rPr>
              <w:t xml:space="preserve">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10" w:type="dxa"/>
            <w:textDirection w:val="lrTb"/>
            <w:noWrap w:val="false"/>
          </w:tcPr>
          <w:p>
            <w:r>
              <w:rPr>
                <w:color w:val="000000"/>
                <w:lang w:eastAsia="ru-RU"/>
              </w:rPr>
              <w:t xml:space="preserve">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2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100</w:t>
            </w:r>
            <w:r>
              <w:rPr>
                <w:color w:val="000000"/>
                <w:lang w:eastAsia="ru-RU"/>
              </w:rPr>
            </w:r>
          </w:p>
        </w:tc>
      </w:tr>
      <w:tr>
        <w:tblPrEx/>
        <w:trPr>
          <w:jc w:val="center"/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63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7</w:t>
            </w:r>
            <w:r>
              <w:rPr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75" w:type="dxa"/>
            <w:vAlign w:val="center"/>
            <w:textDirection w:val="lrTb"/>
            <w:noWrap w:val="false"/>
          </w:tcPr>
          <w:p>
            <w:pPr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Измерение температуры воды систем централизованного горячего водоснабжения</w:t>
            </w:r>
            <w:r>
              <w:rPr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10" w:type="dxa"/>
            <w:textDirection w:val="lrTb"/>
            <w:noWrap w:val="false"/>
          </w:tcPr>
          <w:p>
            <w:r>
              <w:rPr>
                <w:color w:val="000000"/>
                <w:lang w:eastAsia="ru-RU"/>
              </w:rPr>
              <w:t xml:space="preserve">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10" w:type="dxa"/>
            <w:textDirection w:val="lrTb"/>
            <w:noWrap w:val="false"/>
          </w:tcPr>
          <w:p>
            <w:r>
              <w:t xml:space="preserve">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10" w:type="dxa"/>
            <w:textDirection w:val="lrTb"/>
            <w:noWrap w:val="false"/>
          </w:tcPr>
          <w:p>
            <w:r>
              <w:rPr>
                <w:color w:val="000000"/>
                <w:lang w:eastAsia="ru-RU"/>
              </w:rPr>
              <w:t xml:space="preserve">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10" w:type="dxa"/>
            <w:textDirection w:val="lrTb"/>
            <w:noWrap w:val="false"/>
          </w:tcPr>
          <w:p>
            <w:r>
              <w:rPr>
                <w:color w:val="000000"/>
                <w:lang w:eastAsia="ru-RU"/>
              </w:rPr>
              <w:t xml:space="preserve">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2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100</w:t>
            </w:r>
            <w:r>
              <w:rPr>
                <w:color w:val="000000"/>
                <w:lang w:eastAsia="ru-RU"/>
              </w:rPr>
            </w:r>
          </w:p>
        </w:tc>
      </w:tr>
      <w:tr>
        <w:tblPrEx/>
        <w:trPr>
          <w:jc w:val="center"/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63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8</w:t>
            </w:r>
            <w:r>
              <w:rPr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75" w:type="dxa"/>
            <w:vAlign w:val="center"/>
            <w:textDirection w:val="lrTb"/>
            <w:noWrap w:val="false"/>
          </w:tcPr>
          <w:p>
            <w:pPr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Санитарно-эпидемиологическая экспертиза результатов лабораторных исследований с оценкой перечня показателей и условий отбора проб из источников и систем централизованного холодного и горячего водоснабжения:</w:t>
            </w:r>
            <w:r>
              <w:rPr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10" w:type="dxa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10" w:type="dxa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10" w:type="dxa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10" w:type="dxa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22" w:type="dxa"/>
            <w:vAlign w:val="center"/>
            <w:textDirection w:val="lrTb"/>
            <w:noWrap w:val="false"/>
          </w:tcPr>
          <w:p>
            <w:pPr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</w:tr>
      <w:tr>
        <w:tblPrEx/>
        <w:trPr>
          <w:jc w:val="center"/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63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8.1</w:t>
            </w:r>
            <w:r>
              <w:rPr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75" w:type="dxa"/>
            <w:vAlign w:val="center"/>
            <w:textDirection w:val="lrTb"/>
            <w:noWrap w:val="false"/>
          </w:tcPr>
          <w:p>
            <w:pPr>
              <w:rPr>
                <w:color w:val="000000"/>
                <w:lang w:eastAsia="ru-RU"/>
              </w:rPr>
            </w:pPr>
            <w:r>
              <w:rPr>
                <w:i/>
                <w:color w:val="000000"/>
                <w:sz w:val="22"/>
                <w:szCs w:val="22"/>
                <w:lang w:eastAsia="ru-RU"/>
              </w:rPr>
              <w:t xml:space="preserve">по микробиологическим показателям (одна проба)</w:t>
            </w:r>
            <w:r>
              <w:rPr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10" w:type="dxa"/>
            <w:textDirection w:val="lrTb"/>
            <w:noWrap w:val="false"/>
          </w:tcPr>
          <w:p>
            <w:r>
              <w:rPr>
                <w:color w:val="000000"/>
                <w:lang w:eastAsia="ru-RU"/>
              </w:rPr>
              <w:t xml:space="preserve">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10" w:type="dxa"/>
            <w:textDirection w:val="lrTb"/>
            <w:noWrap w:val="false"/>
          </w:tcPr>
          <w:p>
            <w:r>
              <w:rPr>
                <w:color w:val="000000"/>
                <w:lang w:eastAsia="ru-RU"/>
              </w:rPr>
              <w:t xml:space="preserve">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10" w:type="dxa"/>
            <w:textDirection w:val="lrTb"/>
            <w:noWrap w:val="false"/>
          </w:tcPr>
          <w:p>
            <w:r>
              <w:t xml:space="preserve">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10" w:type="dxa"/>
            <w:textDirection w:val="lrTb"/>
            <w:noWrap w:val="false"/>
          </w:tcPr>
          <w:p>
            <w:r>
              <w:t xml:space="preserve">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2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16</w:t>
            </w:r>
            <w:r>
              <w:rPr>
                <w:color w:val="000000"/>
                <w:lang w:eastAsia="ru-RU"/>
              </w:rPr>
            </w:r>
          </w:p>
        </w:tc>
      </w:tr>
      <w:tr>
        <w:tblPrEx/>
        <w:trPr>
          <w:jc w:val="center"/>
          <w:trHeight w:val="63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63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8.2</w:t>
            </w:r>
            <w:r>
              <w:rPr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75" w:type="dxa"/>
            <w:vAlign w:val="center"/>
            <w:textDirection w:val="lrTb"/>
            <w:noWrap w:val="false"/>
          </w:tcPr>
          <w:p>
            <w:pPr>
              <w:rPr>
                <w:color w:val="000000"/>
                <w:lang w:eastAsia="ru-RU"/>
              </w:rPr>
            </w:pPr>
            <w:r>
              <w:rPr>
                <w:i/>
                <w:color w:val="000000"/>
                <w:sz w:val="22"/>
                <w:szCs w:val="22"/>
                <w:lang w:eastAsia="ru-RU"/>
              </w:rPr>
              <w:t xml:space="preserve">по санитарно-химическим показателям (одна проба)</w:t>
            </w:r>
            <w:r>
              <w:rPr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10" w:type="dxa"/>
            <w:textDirection w:val="lrTb"/>
            <w:noWrap w:val="false"/>
          </w:tcPr>
          <w:p>
            <w:r>
              <w:t xml:space="preserve">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10" w:type="dxa"/>
            <w:textDirection w:val="lrTb"/>
            <w:noWrap w:val="false"/>
          </w:tcPr>
          <w:p>
            <w:r>
              <w:t xml:space="preserve">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10" w:type="dxa"/>
            <w:textDirection w:val="lrTb"/>
            <w:noWrap w:val="false"/>
          </w:tcPr>
          <w:p>
            <w:r>
              <w:t xml:space="preserve">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10" w:type="dxa"/>
            <w:textDirection w:val="lrTb"/>
            <w:noWrap w:val="false"/>
          </w:tcPr>
          <w:p>
            <w:r>
              <w:t xml:space="preserve">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2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16</w:t>
            </w:r>
            <w:bookmarkEnd w:id="1"/>
            <w:r/>
            <w:r>
              <w:rPr>
                <w:color w:val="000000"/>
                <w:lang w:eastAsia="ru-RU"/>
              </w:rPr>
            </w:r>
          </w:p>
        </w:tc>
      </w:tr>
    </w:tbl>
    <w:p>
      <w:pPr>
        <w:pStyle w:val="859"/>
        <w:ind w:firstLine="708"/>
        <w:jc w:val="both"/>
      </w:pPr>
      <w:r/>
      <w:r/>
    </w:p>
    <w:p>
      <w:pPr>
        <w:pStyle w:val="859"/>
        <w:ind w:firstLine="708"/>
        <w:jc w:val="both"/>
      </w:pPr>
      <w:r>
        <w:t xml:space="preserve">В 2025 и в 2026 году услуга оказывается ежеквартально.</w:t>
      </w:r>
      <w:r/>
    </w:p>
    <w:p>
      <w:pPr>
        <w:jc w:val="both"/>
        <w:spacing w:before="240" w:after="240"/>
        <w:tabs>
          <w:tab w:val="left" w:pos="567" w:leader="none"/>
        </w:tabs>
        <w:rPr>
          <w:b/>
        </w:rPr>
      </w:pPr>
      <w:r>
        <w:rPr>
          <w:b/>
        </w:rPr>
        <w:t xml:space="preserve">3.2.</w:t>
      </w:r>
      <w:r>
        <w:rPr>
          <w:rFonts w:eastAsia="Cambria"/>
          <w:b/>
        </w:rPr>
        <w:t xml:space="preserve"> </w:t>
      </w:r>
      <w:r>
        <w:rPr>
          <w:b/>
        </w:rPr>
        <w:t xml:space="preserve">Требования к последовательности этапов оказания услуг</w:t>
      </w:r>
      <w:r>
        <w:rPr>
          <w:b/>
        </w:rPr>
      </w:r>
    </w:p>
    <w:p>
      <w:pPr>
        <w:jc w:val="both"/>
      </w:pPr>
      <w:r>
        <w:rPr>
          <w:b/>
        </w:rPr>
        <w:t xml:space="preserve">3.2.1.</w:t>
      </w:r>
      <w:r>
        <w:t xml:space="preserve"> Оказание услуг по контролю качества питьевой воды включает в себя следующие этапы:</w:t>
      </w:r>
      <w:r/>
    </w:p>
    <w:p>
      <w:pPr>
        <w:pStyle w:val="860"/>
        <w:numPr>
          <w:ilvl w:val="0"/>
          <w:numId w:val="8"/>
        </w:numPr>
        <w:ind w:left="0" w:firstLine="0"/>
        <w:jc w:val="both"/>
      </w:pPr>
      <w:r>
        <w:t xml:space="preserve">Ежеквартальный отбор проб холодной и горячей воды в точках водоразбора внутренней распределительной сети, осуществляется отбор проб и холодной и горячей воды;</w:t>
      </w:r>
      <w:r/>
    </w:p>
    <w:p>
      <w:pPr>
        <w:pStyle w:val="860"/>
        <w:numPr>
          <w:ilvl w:val="0"/>
          <w:numId w:val="8"/>
        </w:numPr>
        <w:ind w:left="0" w:firstLine="0"/>
        <w:jc w:val="both"/>
        <w:spacing w:before="240" w:after="240"/>
      </w:pPr>
      <w:r>
        <w:t xml:space="preserve">Исследования показателей качества питьевой воды;</w:t>
      </w:r>
      <w:r/>
    </w:p>
    <w:p>
      <w:pPr>
        <w:pStyle w:val="860"/>
        <w:numPr>
          <w:ilvl w:val="0"/>
          <w:numId w:val="8"/>
        </w:numPr>
        <w:ind w:left="0" w:firstLine="0"/>
        <w:jc w:val="both"/>
        <w:spacing w:before="240" w:after="240"/>
      </w:pPr>
      <w:r>
        <w:t xml:space="preserve">Оформление протоколов лабораторных исследований;</w:t>
      </w:r>
      <w:r/>
    </w:p>
    <w:p>
      <w:pPr>
        <w:pStyle w:val="860"/>
        <w:numPr>
          <w:ilvl w:val="0"/>
          <w:numId w:val="8"/>
        </w:numPr>
        <w:ind w:left="0" w:firstLine="0"/>
        <w:jc w:val="both"/>
        <w:spacing w:before="240" w:after="240"/>
      </w:pPr>
      <w:r>
        <w:t xml:space="preserve">Проведение экспертизы по результатам лабораторных исследований и оформление заключений о соответствии/не соответствии качества питьевой воды гигиеническим нормативам.</w:t>
      </w:r>
      <w:r/>
    </w:p>
    <w:p>
      <w:pPr>
        <w:jc w:val="both"/>
        <w:rPr>
          <w:szCs w:val="28"/>
        </w:rPr>
      </w:pPr>
      <w:r>
        <w:rPr>
          <w:b/>
          <w:szCs w:val="28"/>
        </w:rPr>
        <w:t xml:space="preserve">3.2.2.</w:t>
      </w:r>
      <w:r>
        <w:rPr>
          <w:szCs w:val="28"/>
        </w:rPr>
        <w:t xml:space="preserve"> </w:t>
      </w:r>
      <w:r>
        <w:t xml:space="preserve">Отбор проб холодной и горячей воды осуществляется </w:t>
      </w:r>
      <w:r>
        <w:rPr>
          <w:szCs w:val="28"/>
        </w:rPr>
        <w:t xml:space="preserve">Исполнителем с использованием своих материалов, своими силами и средствами</w:t>
      </w:r>
      <w:r>
        <w:t xml:space="preserve"> на территории Заказчика, по адресу: ул. Михайлова д. 11.</w:t>
      </w:r>
      <w:r>
        <w:rPr>
          <w:szCs w:val="28"/>
        </w:rPr>
      </w:r>
    </w:p>
    <w:p>
      <w:pPr>
        <w:ind w:firstLine="709"/>
        <w:jc w:val="both"/>
        <w:rPr>
          <w:szCs w:val="28"/>
        </w:rPr>
      </w:pPr>
      <w:r>
        <w:rPr>
          <w:szCs w:val="28"/>
        </w:rPr>
        <w:t xml:space="preserve">Исполнитель не позднее чем за 3 рабочих дня до проведения работ по отбору проб направляет Заказчику по электронной почте: ФИО и контактный номер телефона работника, который будет осуществлять отбор проб, перечень используемого оборудования ввозимого на </w:t>
      </w:r>
      <w:r>
        <w:rPr>
          <w:szCs w:val="28"/>
        </w:rPr>
        <w:t xml:space="preserve">территорию Заказчика, а также другую необходимую для допуска работника Исполнителя на территорию Заказчика информацию.</w:t>
      </w:r>
      <w:r>
        <w:rPr>
          <w:szCs w:val="28"/>
        </w:rPr>
      </w:r>
    </w:p>
    <w:p>
      <w:pPr>
        <w:jc w:val="both"/>
        <w:spacing w:before="240" w:after="240"/>
      </w:pPr>
      <w:r>
        <w:rPr>
          <w:b/>
        </w:rPr>
        <w:t xml:space="preserve">3.2.3.</w:t>
      </w:r>
      <w:r>
        <w:t xml:space="preserve"> Заказчик обеспечивает Исполнителю допуск на территорию в сопровождении представителя Заказчика.</w:t>
      </w:r>
      <w:r/>
    </w:p>
    <w:p>
      <w:pPr>
        <w:jc w:val="both"/>
        <w:spacing w:before="240" w:after="240"/>
      </w:pPr>
      <w:r>
        <w:rPr>
          <w:b/>
        </w:rPr>
        <w:t xml:space="preserve">3.2.4.</w:t>
      </w:r>
      <w:r>
        <w:t xml:space="preserve"> По результатам проведенных лабораторных исследований питьевой воды Исполнитель предоставляет Заказчику протоколы лабораторных исследований и экспертные заключения о соответствии/не соответствии показателей качества воды гигиеническим нормативам.</w:t>
      </w:r>
      <w:r/>
    </w:p>
    <w:p>
      <w:pPr>
        <w:jc w:val="both"/>
        <w:spacing w:before="240" w:after="240"/>
        <w:tabs>
          <w:tab w:val="left" w:pos="567" w:leader="none"/>
        </w:tabs>
        <w:rPr>
          <w:b/>
        </w:rPr>
      </w:pPr>
      <w:r>
        <w:rPr>
          <w:b/>
        </w:rPr>
        <w:t xml:space="preserve">3.3. Требования к организации обеспечения услуг</w:t>
      </w:r>
      <w:r>
        <w:rPr>
          <w:b/>
        </w:rPr>
      </w:r>
    </w:p>
    <w:p>
      <w:pPr>
        <w:pStyle w:val="860"/>
        <w:ind w:left="0"/>
        <w:jc w:val="both"/>
      </w:pPr>
      <w:r>
        <w:rPr>
          <w:b/>
        </w:rPr>
        <w:t xml:space="preserve">3.3.1.</w:t>
      </w:r>
      <w:r>
        <w:t xml:space="preserve"> Исполнитель должен оказать предусмотренные Договором услуги в полном объеме в соответствии с действующими госуда</w:t>
      </w:r>
      <w:r>
        <w:t xml:space="preserve">рственными нормативными правовыми актами и утвержденной программой производственного контроля Заказчика, предоставить протоколы лабораторных исследований и заключений о соответствии/не соответствии качества питьевой воды гигиеническим нормативам Заказчику.</w:t>
      </w:r>
      <w:r/>
    </w:p>
    <w:p>
      <w:pPr>
        <w:pStyle w:val="860"/>
        <w:ind w:left="0"/>
        <w:jc w:val="both"/>
      </w:pPr>
      <w:r>
        <w:rPr>
          <w:b/>
        </w:rPr>
        <w:t xml:space="preserve">3.3.2.</w:t>
      </w:r>
      <w:r>
        <w:t xml:space="preserve"> Исполнитель самостоятельно организовывает отбор проб воды, подготовку к транспортированию, хранение и транспортирование образцов воды. Отбор проб воды, хранение и транспортирование осуществляется в соответствии с требованиями ГОСТ 3</w:t>
      </w:r>
      <w:r>
        <w:t xml:space="preserve">1942-2012 Вода. Общие требования к отбору проб воды для микробиологического анализа; ГОСТ Р 59024-2020 Вода. Общие требования к отбору проб; ГОСТ 56237-2014 Вода питьевая. Отбор проб на станциях водоподготовки и в трубопроводных распределительных системах.</w:t>
      </w:r>
      <w:r/>
    </w:p>
    <w:p>
      <w:pPr>
        <w:pStyle w:val="860"/>
        <w:ind w:left="0"/>
        <w:jc w:val="both"/>
      </w:pPr>
      <w:r>
        <w:rPr>
          <w:b/>
        </w:rPr>
        <w:t xml:space="preserve">3.3.3</w:t>
      </w:r>
      <w:r>
        <w:t xml:space="preserve">. Исполнитель должен обеспечить своих работников транспортом, материалами и средствами измерения, необходимыми для оказания услуг в полном объеме.</w:t>
      </w:r>
      <w:r/>
    </w:p>
    <w:p>
      <w:pPr>
        <w:pStyle w:val="860"/>
        <w:ind w:left="0"/>
        <w:jc w:val="both"/>
      </w:pPr>
      <w:r>
        <w:rPr>
          <w:b/>
        </w:rPr>
        <w:t xml:space="preserve">3.3.4.</w:t>
      </w:r>
      <w:r>
        <w:t xml:space="preserve"> Исполнитель должен оказать услуги без нарушения производственного процесса Заказчика.</w:t>
      </w:r>
      <w:r/>
    </w:p>
    <w:p>
      <w:pPr>
        <w:pStyle w:val="860"/>
        <w:ind w:left="0"/>
        <w:jc w:val="both"/>
      </w:pPr>
      <w:r>
        <w:rPr>
          <w:b/>
        </w:rPr>
        <w:t xml:space="preserve">3.3.5</w:t>
      </w:r>
      <w:r>
        <w:t xml:space="preserve"> Исполнитель должен соблюдать конфиденциальность информации, полученной в связи с оказанием услуг по Договору, не разглашать полученную информацию, за исключением случаев, предусмотренных действующим законодательством Российской Федерации.</w:t>
      </w:r>
      <w:r/>
    </w:p>
    <w:p>
      <w:pPr>
        <w:jc w:val="both"/>
        <w:spacing w:before="240" w:after="240"/>
        <w:tabs>
          <w:tab w:val="left" w:pos="567" w:leader="none"/>
        </w:tabs>
        <w:rPr>
          <w:rFonts w:eastAsia="Cambria"/>
          <w:b/>
        </w:rPr>
      </w:pPr>
      <w:r>
        <w:rPr>
          <w:rFonts w:eastAsia="Cambria"/>
          <w:b/>
        </w:rPr>
        <w:t xml:space="preserve">3.4. </w:t>
      </w:r>
      <w:r>
        <w:rPr>
          <w:b/>
        </w:rPr>
        <w:t xml:space="preserve">Требования к применяемым материалам и оборудованию  </w:t>
      </w:r>
      <w:r>
        <w:rPr>
          <w:rFonts w:eastAsia="Cambria"/>
          <w:b/>
        </w:rPr>
      </w:r>
    </w:p>
    <w:p>
      <w:pPr>
        <w:pStyle w:val="860"/>
        <w:ind w:left="0"/>
        <w:jc w:val="both"/>
      </w:pPr>
      <w:r>
        <w:t xml:space="preserve">3.4.1. В случае использования материалов зарубежного производства </w:t>
      </w:r>
      <w:r>
        <w:rPr>
          <w:b/>
        </w:rPr>
        <w:t xml:space="preserve">Исполнитель</w:t>
      </w:r>
      <w:r>
        <w:t xml:space="preserve"> обязан проверить их на соответствие требованиям нормативно-технической документации РФ.</w:t>
      </w:r>
      <w:r/>
    </w:p>
    <w:p>
      <w:pPr>
        <w:pStyle w:val="860"/>
        <w:ind w:left="0"/>
        <w:jc w:val="both"/>
        <w:rPr>
          <w:b/>
        </w:rPr>
      </w:pPr>
      <w:r>
        <w:t xml:space="preserve">3.4.2. Используемые при оказании услуг товары должны соответствовать требованиям, установленным п</w:t>
      </w:r>
      <w:r>
        <w:t xml:space="preserve">остановлением Правительства Российской Федерации от 29.12.2018 № 1716-83, а именно: производителем товара, страной отправления, либо страной, через которую перемещается товар, не является Украина (применяется в части перечня, утвержденного постановлением).</w:t>
      </w:r>
      <w:r>
        <w:rPr>
          <w:b/>
        </w:rPr>
      </w:r>
    </w:p>
    <w:p>
      <w:pPr>
        <w:jc w:val="both"/>
        <w:tabs>
          <w:tab w:val="left" w:pos="567" w:leader="none"/>
          <w:tab w:val="left" w:pos="1260" w:leader="none"/>
        </w:tabs>
      </w:pPr>
      <w:r>
        <w:t xml:space="preserve">3.4.3 Исполнитель должен применять утвержденные и аттестованные в порядке, установленном законодательством Р</w:t>
      </w:r>
      <w:r>
        <w:t xml:space="preserve">оссийской Федерации об обеспечении единства измерений, методы исследований (испытаний) и методики (методы) измерений и соответствующие им средства измерений, прошедшие поверку и внесенные в Федеральный информационный фонд по обеспечению единства измерений.</w:t>
      </w:r>
      <w:r/>
    </w:p>
    <w:p>
      <w:pPr>
        <w:jc w:val="both"/>
        <w:spacing w:before="240" w:after="240"/>
        <w:tabs>
          <w:tab w:val="left" w:pos="567" w:leader="none"/>
          <w:tab w:val="left" w:pos="1260" w:leader="none"/>
        </w:tabs>
        <w:rPr>
          <w:b/>
        </w:rPr>
      </w:pPr>
      <w:r>
        <w:rPr>
          <w:b/>
        </w:rPr>
        <w:t xml:space="preserve">3.5. Требования безопасности</w:t>
      </w:r>
      <w:r>
        <w:rPr>
          <w:b/>
        </w:rPr>
      </w:r>
    </w:p>
    <w:p>
      <w:pPr>
        <w:pStyle w:val="860"/>
        <w:ind w:left="0" w:firstLine="567"/>
        <w:jc w:val="both"/>
      </w:pPr>
      <w:r>
        <w:t xml:space="preserve">Исполнитель должен обеспечить соблюдение своим персоналом правил внутреннего трудового распорядка Заказчика, правил техники безопасности, правил противопожарного режима (безопасности).</w:t>
      </w:r>
      <w:r/>
    </w:p>
    <w:p>
      <w:pPr>
        <w:pStyle w:val="860"/>
        <w:ind w:left="0" w:firstLine="567"/>
        <w:jc w:val="both"/>
      </w:pPr>
      <w:r>
        <w:t xml:space="preserve">В случае появления обстоятельств, угрожающих безопасности при оказании услуг, а также возникновению пожарной опасности незамедлительно сообщать о них Заказчику.</w:t>
      </w:r>
      <w:r/>
    </w:p>
    <w:p>
      <w:pPr>
        <w:jc w:val="both"/>
        <w:spacing w:before="240" w:after="240"/>
        <w:tabs>
          <w:tab w:val="left" w:pos="567" w:leader="none"/>
          <w:tab w:val="left" w:pos="1260" w:leader="none"/>
        </w:tabs>
        <w:rPr>
          <w:iCs/>
        </w:rPr>
      </w:pPr>
      <w:r>
        <w:rPr>
          <w:b/>
        </w:rPr>
        <w:t xml:space="preserve">3.6. Требования к порядку подготовки и передачи заказчику документов при оказании услуг и их завершении</w:t>
      </w:r>
      <w:r>
        <w:rPr>
          <w:iCs/>
        </w:rPr>
      </w:r>
    </w:p>
    <w:p>
      <w:pPr>
        <w:jc w:val="both"/>
        <w:spacing w:before="240" w:after="240"/>
      </w:pPr>
      <w:r>
        <w:rPr>
          <w:b/>
        </w:rPr>
        <w:t xml:space="preserve">3.6.1.</w:t>
      </w:r>
      <w:r>
        <w:t xml:space="preserve"> </w:t>
      </w:r>
      <w:r>
        <w:t xml:space="preserve">По результатам оказанных услуг Исполнитель представляет Заказчику счет, счет-фактуру, акт приемки оказанных услуг, протоколы лабораторных исследований, экспертные заключения о соответствии/не соответствии показателей качества воды гигиеническим нормативам.</w:t>
      </w:r>
      <w:r/>
    </w:p>
    <w:p>
      <w:pPr>
        <w:jc w:val="both"/>
        <w:spacing w:before="240" w:after="240"/>
        <w:rPr>
          <w:szCs w:val="28"/>
        </w:rPr>
      </w:pPr>
      <w:r>
        <w:rPr>
          <w:b/>
        </w:rPr>
        <w:t xml:space="preserve">3.6.2.</w:t>
      </w:r>
      <w:r>
        <w:t xml:space="preserve"> Протоколы лабораторных исследований и экспертные заключения, Исполнитель передает Заказчику в течении </w:t>
      </w:r>
      <w:r>
        <w:rPr>
          <w:szCs w:val="28"/>
        </w:rPr>
        <w:t xml:space="preserve">10 рабочих дней </w:t>
      </w:r>
      <w:r>
        <w:t xml:space="preserve">после отбора проб воды</w:t>
      </w:r>
      <w:r>
        <w:rPr>
          <w:szCs w:val="28"/>
        </w:rPr>
        <w:t xml:space="preserve">. </w:t>
      </w:r>
      <w:r>
        <w:rPr>
          <w:szCs w:val="28"/>
        </w:rPr>
      </w:r>
    </w:p>
    <w:p>
      <w:pPr>
        <w:jc w:val="both"/>
        <w:spacing w:before="240" w:after="240"/>
        <w:rPr>
          <w:szCs w:val="28"/>
        </w:rPr>
      </w:pPr>
      <w:r>
        <w:rPr>
          <w:b/>
        </w:rPr>
        <w:t xml:space="preserve">3.6.3.</w:t>
      </w:r>
      <w:r>
        <w:rPr>
          <w:szCs w:val="28"/>
        </w:rPr>
        <w:t xml:space="preserve"> Передача документов указанных в п. 3.6.1 и 3.6.2 ТЗ осуществляется силами и средствами Исполнителя по адресу: г. Санкт-Петербург, ул. Михайлова, д. 11.</w:t>
      </w:r>
      <w:r>
        <w:rPr>
          <w:szCs w:val="28"/>
        </w:rPr>
      </w:r>
    </w:p>
    <w:p>
      <w:pPr>
        <w:jc w:val="both"/>
        <w:spacing w:before="240" w:after="240"/>
        <w:rPr>
          <w:b/>
        </w:rPr>
      </w:pPr>
      <w:r>
        <w:rPr>
          <w:b/>
        </w:rPr>
        <w:t xml:space="preserve">3.7. Требования к гарантийным обязательствам</w:t>
      </w:r>
      <w:r>
        <w:rPr>
          <w:b/>
        </w:rPr>
      </w:r>
    </w:p>
    <w:p>
      <w:pPr>
        <w:ind w:firstLine="567"/>
        <w:jc w:val="both"/>
        <w:spacing w:before="240" w:after="240"/>
        <w:tabs>
          <w:tab w:val="left" w:pos="567" w:leader="none"/>
          <w:tab w:val="left" w:pos="1260" w:leader="none"/>
        </w:tabs>
      </w:pPr>
      <w:r>
        <w:rPr>
          <w:color w:val="000000"/>
          <w:shd w:val="clear" w:color="auto" w:fill="ffffff"/>
        </w:rPr>
        <w:t xml:space="preserve">В случае получения обоснованных замечаний со стороны Заказчика и/или контрольно-надзорных органов</w:t>
      </w:r>
      <w:r>
        <w:rPr>
          <w:color w:val="000000"/>
          <w:shd w:val="clear" w:color="auto" w:fill="ffffff"/>
        </w:rPr>
        <w:t xml:space="preserve"> по выполненным услугам и оформлению протоколов лабораторных исследований, Исполнитель обязан устранить недостатки за свой счет и предоставить новый пакет документов (с учетом внесенных исправлений), в течение 10 рабочих дней с момента получения замечаний.</w:t>
      </w:r>
      <w:r/>
    </w:p>
    <w:p>
      <w:pPr>
        <w:jc w:val="both"/>
        <w:spacing w:before="240" w:after="240"/>
        <w:tabs>
          <w:tab w:val="left" w:pos="567" w:leader="none"/>
          <w:tab w:val="left" w:pos="1260" w:leader="none"/>
        </w:tabs>
      </w:pPr>
      <w:r>
        <w:rPr>
          <w:b/>
        </w:rPr>
        <w:t xml:space="preserve">3.8. Ответственность исполнителя</w:t>
      </w:r>
      <w:r/>
    </w:p>
    <w:p>
      <w:pPr>
        <w:ind w:firstLine="567"/>
        <w:jc w:val="both"/>
        <w:spacing w:before="240" w:after="240"/>
      </w:pPr>
      <w:r>
        <w:t xml:space="preserve">В случае неисполнения или ненадлежащего исполнения своих обязанностей Исполнитель несет ответственность в соответствии с законодательством Российской Федерации и условиями Договора.</w:t>
      </w:r>
      <w:r/>
    </w:p>
    <w:p>
      <w:pPr>
        <w:jc w:val="both"/>
        <w:tabs>
          <w:tab w:val="left" w:pos="567" w:leader="none"/>
        </w:tabs>
        <w:rPr>
          <w:rFonts w:eastAsia="Cambria"/>
          <w:b/>
        </w:rPr>
      </w:pPr>
      <w:r>
        <w:rPr>
          <w:b/>
        </w:rPr>
        <w:t xml:space="preserve">3.9.</w:t>
      </w:r>
      <w:r>
        <w:rPr>
          <w:rFonts w:eastAsia="Cambria"/>
          <w:b/>
        </w:rPr>
        <w:t xml:space="preserve"> </w:t>
      </w:r>
      <w:r>
        <w:rPr>
          <w:b/>
        </w:rPr>
        <w:t xml:space="preserve">Требования к порядку привлечению субподрядчиков </w:t>
      </w:r>
      <w:r>
        <w:rPr>
          <w:rFonts w:eastAsia="Cambria"/>
          <w:b/>
        </w:rPr>
      </w:r>
    </w:p>
    <w:p>
      <w:pPr>
        <w:ind w:firstLine="567"/>
        <w:jc w:val="both"/>
        <w:spacing w:before="240"/>
        <w:rPr>
          <w:bCs/>
        </w:rPr>
      </w:pPr>
      <w:r>
        <w:rPr>
          <w:bCs/>
        </w:rPr>
        <w:t xml:space="preserve">Исполнитель для оказания услуг, указанных в настоящем техническом задании, может привлекать субподрядчиков (соисполнителей). </w:t>
      </w:r>
      <w:r>
        <w:rPr>
          <w:color w:val="000000" w:themeColor="text1"/>
        </w:rPr>
        <w:t xml:space="preserve">При этом объем работ, выполняемых привлекаемыми субподрядными организациями, не должен превышать 50% от объема работ по договору.</w:t>
      </w:r>
      <w:r>
        <w:rPr>
          <w:bCs/>
        </w:rPr>
      </w:r>
    </w:p>
    <w:p>
      <w:pPr>
        <w:ind w:firstLine="567"/>
        <w:jc w:val="both"/>
        <w:rPr>
          <w:bCs/>
        </w:rPr>
      </w:pPr>
      <w:r>
        <w:rPr>
          <w:bCs/>
        </w:rPr>
        <w:t xml:space="preserve">Требования к субподрядчикам (соисполнителям) указаны в соответствующих разделах данного технического задания, а также закупочной документации. </w:t>
      </w:r>
      <w:r>
        <w:rPr>
          <w:bCs/>
        </w:rPr>
      </w:r>
    </w:p>
    <w:p>
      <w:pPr>
        <w:ind w:firstLine="567"/>
        <w:jc w:val="both"/>
        <w:rPr>
          <w:bCs/>
        </w:rPr>
      </w:pPr>
      <w:r>
        <w:rPr>
          <w:bCs/>
        </w:rPr>
        <w:t xml:space="preserve">В случае замены </w:t>
      </w:r>
      <w:r>
        <w:rPr>
          <w:bCs/>
        </w:rPr>
        <w:t xml:space="preserve">или привлечения новых субподрядчиков (соисполнителей) после завершения закупочной процедуры, информация о которых ранее не была представлена в заявке участника, Исполнитель должен согласовать привлечение таких субподрядчиков (соисполнителей) с Заказчиком. </w:t>
      </w:r>
      <w:r>
        <w:rPr>
          <w:bCs/>
        </w:rPr>
      </w:r>
    </w:p>
    <w:p>
      <w:pPr>
        <w:ind w:firstLine="567"/>
        <w:jc w:val="both"/>
        <w:rPr>
          <w:bCs/>
        </w:rPr>
      </w:pPr>
      <w:r>
        <w:rPr>
          <w:bCs/>
        </w:rPr>
        <w:t xml:space="preserve">Критерием для согласования Заказчиком иных субподрядчиков (соисполнителей), незаявленных Исполнителем на этапе подачи заявок, является их соответствие требованиям, указанным в пункте 5.4. настоящего технического задания.</w:t>
      </w:r>
      <w:r>
        <w:rPr>
          <w:bCs/>
        </w:rPr>
      </w:r>
    </w:p>
    <w:p>
      <w:pPr>
        <w:ind w:firstLine="567"/>
        <w:jc w:val="both"/>
        <w:rPr>
          <w:bCs/>
        </w:rPr>
      </w:pPr>
      <w:r>
        <w:rPr>
          <w:bCs/>
        </w:rPr>
        <w:t xml:space="preserve">Порядок привлечения субподрядчиков (соисполнителей), незаявленных Исполнителем на этапе подачи заявок: Исполнитель направляет в адрес Заказчика письменную заявку о согласо</w:t>
      </w:r>
      <w:r>
        <w:rPr>
          <w:bCs/>
        </w:rPr>
        <w:t xml:space="preserve">вании привлекаемого субподрядчика (соисполнителя) с приложением документов, подтверждающих соответствие субподрядчика (соисполнителя) требованиям, указанным в пункте 5.4. настоящего технического задания, а также письменное согласие субподрядчика (соисполни</w:t>
      </w:r>
      <w:r>
        <w:rPr>
          <w:bCs/>
        </w:rPr>
        <w:t xml:space="preserve">теля) на привлечение к поставке товаров (выполнению работ, оказанию услуг) по договору, являющемуся предметом закупки. Заказчик направляет уведомление в адрес Исполнителя о согласовании/не согласовании планируемого к привлечению субподрядчика (соисполнител</w:t>
      </w:r>
      <w:r>
        <w:rPr>
          <w:bCs/>
        </w:rPr>
        <w:t xml:space="preserve">я) в письменном виде не позднее 10 рабочих дней с даты поступления соответствующей заявки от Исполнителя. В случае не направления Заказчиком ответа в адрес Исполнителя в установленный срок кандидатура привлекаемого субподрядчика (соисполнителя) считается с</w:t>
      </w:r>
      <w:r>
        <w:rPr>
          <w:bCs/>
        </w:rPr>
        <w:t xml:space="preserve">огласованной сторонами. В случае отказа Заказчика в согласовании привлекаемого субподрядчика (соисполнителя) по критериям, установленным в настоящем пункте, в адрес Исполнителя направляется соответствующий ответ в срок, не превышающий 10-ти рабочих дней.  </w:t>
      </w:r>
      <w:r>
        <w:rPr>
          <w:bCs/>
        </w:rPr>
      </w:r>
    </w:p>
    <w:p>
      <w:pPr>
        <w:ind w:firstLine="567"/>
        <w:jc w:val="both"/>
        <w:spacing w:before="240" w:after="240"/>
      </w:pPr>
      <w:r>
        <w:rPr>
          <w:bCs/>
        </w:rPr>
        <w:t xml:space="preserve">Изменение критериев и порядка согласования субподрядчиков (соисполнителей) на этапе исполнения договора допускается по письменному соглашению сторон</w:t>
      </w:r>
      <w:r>
        <w:t xml:space="preserve">. </w:t>
      </w:r>
      <w:r/>
    </w:p>
    <w:p>
      <w:pPr>
        <w:jc w:val="both"/>
        <w:spacing w:before="240" w:after="240"/>
        <w:tabs>
          <w:tab w:val="left" w:pos="567" w:leader="none"/>
        </w:tabs>
        <w:rPr>
          <w:rFonts w:eastAsia="Cambria"/>
          <w:b/>
        </w:rPr>
      </w:pPr>
      <w:r>
        <w:rPr>
          <w:rFonts w:eastAsia="Cambria"/>
          <w:b/>
        </w:rPr>
        <w:t xml:space="preserve">4. Порядок формирования коммерческого предложения участника закупки, обоснования цены, расчетов, предоставления банковских гарантий</w:t>
      </w:r>
      <w:r>
        <w:rPr>
          <w:rFonts w:eastAsia="Cambria"/>
          <w:b/>
        </w:rPr>
      </w:r>
    </w:p>
    <w:p>
      <w:pPr>
        <w:pStyle w:val="860"/>
        <w:ind w:left="0" w:firstLine="708"/>
        <w:jc w:val="both"/>
      </w:pPr>
      <w:r>
        <w:t xml:space="preserve">Участник закупки должен предоставить в составе коммерческого предложения </w:t>
      </w:r>
      <w:r>
        <w:t xml:space="preserve">С</w:t>
      </w:r>
      <w:r>
        <w:t xml:space="preserve">водную таблицу стоимости </w:t>
      </w:r>
      <w:r>
        <w:t xml:space="preserve">работ/</w:t>
      </w:r>
      <w:r>
        <w:t xml:space="preserve">услуг.</w:t>
      </w:r>
      <w:r/>
    </w:p>
    <w:p>
      <w:pPr>
        <w:ind w:firstLine="709"/>
        <w:jc w:val="both"/>
      </w:pPr>
      <w:r>
        <w:t xml:space="preserve">Сводная таблица стоимости работ/услуг - Калькуляция на проведение лабораторных исследований качества питьевой воды, должна составляться отдельно по каждому исследуемому показателю с учетом количества точек отбора проб, </w:t>
      </w:r>
      <w:r>
        <w:t xml:space="preserve">по форме</w:t>
      </w:r>
      <w:r>
        <w:t xml:space="preserve"> </w:t>
      </w:r>
      <w:r>
        <w:t xml:space="preserve">5 Закупочной документации (</w:t>
      </w:r>
      <w:r>
        <w:t xml:space="preserve">Приложени</w:t>
      </w:r>
      <w:r>
        <w:t xml:space="preserve">е</w:t>
      </w:r>
      <w:r>
        <w:t xml:space="preserve"> № 1 к Техни</w:t>
      </w:r>
      <w:r>
        <w:t xml:space="preserve">ческому заданию </w:t>
      </w:r>
      <w:r>
        <w:rPr>
          <w:i/>
        </w:rPr>
        <w:t xml:space="preserve">(файл </w:t>
      </w:r>
      <w:r>
        <w:rPr>
          <w:i/>
          <w:lang w:val="en-US"/>
        </w:rPr>
        <w:t xml:space="preserve">Excel</w:t>
      </w:r>
      <w:r>
        <w:rPr>
          <w:i/>
        </w:rPr>
        <w:t xml:space="preserve"> – «Коммерческое предложение»)</w:t>
      </w:r>
      <w:r>
        <w:t xml:space="preserve">. </w:t>
      </w:r>
      <w:r/>
    </w:p>
    <w:p>
      <w:pPr>
        <w:ind w:firstLine="709"/>
        <w:jc w:val="both"/>
      </w:pPr>
      <w:r>
        <w:t xml:space="preserve">Цена за 1 исследуемый фактор должна быть фиксированной в течении всего срока действия договора, а</w:t>
      </w:r>
      <w:r>
        <w:t xml:space="preserve"> также включает в себя все расходы Исполнителя, связанные с оказанием услуг, в том числе расходы на отбор проб воды, транспортирование, хранение, лабораторные исследования, а также проведение санитарно-эпидемиологической экспертизы качества питьевой воды. </w:t>
      </w:r>
      <w:r/>
    </w:p>
    <w:p>
      <w:pPr>
        <w:ind w:firstLine="709"/>
        <w:jc w:val="both"/>
      </w:pPr>
      <w:r>
        <w:t xml:space="preserve">Оплата производится в течение всего срока действия договора за фактически оказанные услуги в форме безналичного расчета путем перечи</w:t>
      </w:r>
      <w:r>
        <w:t xml:space="preserve">сления денежных средств на расчетный счет Исполнителя, в течение 7 рабочих дней с момента подписания акта приёмки оказанных услуг и предоставления оригиналов счета, счета-фактуры, протоколов лабораторно-инструментальных исследований, экспертных заключений.</w:t>
      </w:r>
      <w:r/>
    </w:p>
    <w:p>
      <w:pPr>
        <w:jc w:val="both"/>
        <w:spacing w:before="240" w:after="240"/>
        <w:tabs>
          <w:tab w:val="left" w:pos="567" w:leader="none"/>
        </w:tabs>
        <w:rPr>
          <w:rFonts w:eastAsia="Cambria"/>
          <w:b/>
        </w:rPr>
      </w:pPr>
      <w:r>
        <w:rPr>
          <w:rFonts w:eastAsia="Cambria"/>
          <w:b/>
        </w:rPr>
        <w:t xml:space="preserve">5. Требование к участникам закупки </w:t>
      </w:r>
      <w:r>
        <w:rPr>
          <w:rFonts w:eastAsia="Cambria"/>
          <w:b/>
        </w:rPr>
      </w:r>
    </w:p>
    <w:p>
      <w:pPr>
        <w:jc w:val="both"/>
        <w:spacing w:before="240" w:after="240"/>
        <w:rPr>
          <w:rFonts w:eastAsia="Calibri"/>
        </w:rPr>
      </w:pPr>
      <w:r>
        <w:rPr>
          <w:rFonts w:eastAsia="Calibri"/>
          <w:b/>
          <w:color w:val="000000" w:themeColor="text1"/>
        </w:rPr>
        <w:t xml:space="preserve">5.1. Требования о наличии кадровых ресурсов и их квалификации</w:t>
      </w:r>
      <w:r>
        <w:rPr>
          <w:rFonts w:eastAsia="Calibri"/>
          <w:color w:val="000000" w:themeColor="text1"/>
        </w:rPr>
        <w:t xml:space="preserve"> </w:t>
      </w:r>
      <w:r>
        <w:rPr>
          <w:rFonts w:eastAsia="Calibri"/>
        </w:rPr>
      </w:r>
    </w:p>
    <w:p>
      <w:pPr>
        <w:ind w:firstLine="540"/>
        <w:jc w:val="both"/>
        <w:widowControl w:val="off"/>
        <w:rPr>
          <w:i/>
        </w:rPr>
      </w:pPr>
      <w:r>
        <w:rPr>
          <w:color w:val="000000"/>
        </w:rPr>
        <w:t xml:space="preserve">Не требуется.</w:t>
      </w:r>
      <w:r>
        <w:rPr>
          <w:i/>
        </w:rPr>
      </w:r>
    </w:p>
    <w:p>
      <w:pPr>
        <w:jc w:val="both"/>
        <w:spacing w:before="240" w:after="240"/>
        <w:rPr>
          <w:rFonts w:eastAsia="Calibri"/>
          <w:b/>
        </w:rPr>
      </w:pPr>
      <w:r>
        <w:rPr>
          <w:rFonts w:eastAsia="Calibri"/>
          <w:b/>
        </w:rPr>
        <w:t xml:space="preserve">5.2. Требования о наличии материально-технических ресурсов </w:t>
      </w:r>
      <w:r>
        <w:rPr>
          <w:rFonts w:eastAsia="Calibri"/>
          <w:b/>
        </w:rPr>
      </w:r>
    </w:p>
    <w:p>
      <w:pPr>
        <w:pStyle w:val="889"/>
        <w:ind w:firstLine="708"/>
        <w:jc w:val="both"/>
        <w:spacing w:after="0"/>
        <w:rPr>
          <w:color w:val="000000" w:themeColor="text1"/>
        </w:rPr>
      </w:pPr>
      <w:r>
        <w:rPr>
          <w:color w:val="000000" w:themeColor="text1"/>
        </w:rPr>
        <w:t xml:space="preserve">Участник закупки должен предоставить в составе своего предложения справку о материально-технических ресурсах по форме, указанной в закупочной документации, подтверждающую наличие у него:</w:t>
      </w:r>
      <w:r>
        <w:rPr>
          <w:color w:val="000000" w:themeColor="text1"/>
        </w:rPr>
      </w:r>
    </w:p>
    <w:p>
      <w:pPr>
        <w:ind w:firstLine="708"/>
        <w:jc w:val="both"/>
        <w:rPr>
          <w:lang w:bidi="en-US"/>
        </w:rPr>
      </w:pPr>
      <w:r>
        <w:rPr>
          <w:lang w:bidi="en-US"/>
        </w:rPr>
        <w:t xml:space="preserve">Наличие в качестве собственного структурного подразделения испытательной лаборатории (центра), которая аккредитована национальным органом Российской Федерации по аккредитации в порядке, установленном законодательством Российской Федерацию.</w:t>
      </w:r>
      <w:r>
        <w:rPr>
          <w:lang w:bidi="en-US"/>
        </w:rPr>
      </w:r>
    </w:p>
    <w:p>
      <w:pPr>
        <w:ind w:firstLine="708"/>
        <w:jc w:val="both"/>
        <w:rPr>
          <w:color w:val="000000" w:themeColor="text1"/>
        </w:rPr>
      </w:pPr>
      <w:r>
        <w:rPr>
          <w:color w:val="000000" w:themeColor="text1"/>
          <w:lang w:bidi="en-US"/>
        </w:rPr>
      </w:r>
      <w:r>
        <w:rPr>
          <w:color w:val="000000" w:themeColor="text1"/>
        </w:rPr>
      </w:r>
    </w:p>
    <w:p>
      <w:pPr>
        <w:ind w:firstLine="708"/>
        <w:jc w:val="both"/>
        <w:rPr>
          <w:i/>
          <w:strike/>
          <w:lang w:bidi="en-US"/>
        </w:rPr>
      </w:pPr>
      <w:r>
        <w:rPr>
          <w:rFonts w:eastAsiaTheme="minorEastAsia"/>
          <w:i/>
          <w:color w:val="000000" w:themeColor="text1"/>
        </w:rPr>
        <w:t xml:space="preserve">Т</w:t>
      </w:r>
      <w:r>
        <w:rPr>
          <w:rFonts w:eastAsiaTheme="minorEastAsia"/>
          <w:i/>
        </w:rPr>
        <w:t xml:space="preserve">ребование</w:t>
      </w:r>
      <w:r>
        <w:rPr>
          <w:rFonts w:eastAsiaTheme="minorEastAsia"/>
          <w:i/>
        </w:rPr>
        <w:t xml:space="preserve"> является отборочным критерием</w:t>
      </w:r>
      <w:r>
        <w:rPr>
          <w:rFonts w:eastAsiaTheme="minorEastAsia"/>
          <w:i/>
          <w:color w:val="ff0000"/>
        </w:rPr>
        <w:t xml:space="preserve">.</w:t>
      </w:r>
      <w:r>
        <w:rPr>
          <w:i/>
          <w:strike/>
          <w:lang w:bidi="en-US"/>
        </w:rPr>
      </w:r>
      <w:r>
        <w:rPr>
          <w:i/>
          <w:strike/>
          <w:lang w:bidi="en-US"/>
        </w:rPr>
      </w:r>
    </w:p>
    <w:p>
      <w:pPr>
        <w:jc w:val="both"/>
        <w:spacing w:before="240" w:after="240"/>
        <w:rPr>
          <w:rFonts w:eastAsia="Calibri"/>
          <w:b/>
        </w:rPr>
      </w:pPr>
      <w:r>
        <w:rPr>
          <w:rFonts w:eastAsia="Calibri"/>
          <w:b/>
        </w:rPr>
        <w:t xml:space="preserve">5.3. Требования к измерительным приборам и инструментам</w:t>
      </w:r>
      <w:r>
        <w:rPr>
          <w:rFonts w:eastAsia="Calibri"/>
          <w:b/>
        </w:rPr>
      </w:r>
    </w:p>
    <w:p>
      <w:pPr>
        <w:ind w:firstLine="708"/>
        <w:jc w:val="both"/>
      </w:pPr>
      <w:r>
        <w:t xml:space="preserve">Не требуется.</w:t>
      </w:r>
      <w:r/>
    </w:p>
    <w:p>
      <w:pPr>
        <w:jc w:val="both"/>
        <w:spacing w:before="240" w:after="240"/>
        <w:rPr>
          <w:rFonts w:eastAsia="Calibri"/>
          <w:b/>
        </w:rPr>
      </w:pPr>
      <w:r>
        <w:rPr>
          <w:rFonts w:eastAsia="Calibri"/>
          <w:b/>
        </w:rPr>
        <w:t xml:space="preserve">5.4. Требования о наличии действующих разрешений, аттестаций, лицензий</w:t>
      </w:r>
      <w:r>
        <w:rPr>
          <w:rFonts w:eastAsia="Calibri"/>
          <w:b/>
        </w:rPr>
      </w:r>
    </w:p>
    <w:p>
      <w:pPr>
        <w:pStyle w:val="88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  <w:outlineLvl w:val="0"/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Участник должен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предоставить подтверждение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</w:p>
    <w:p>
      <w:pPr>
        <w:pStyle w:val="882"/>
        <w:jc w:val="both"/>
        <w:rPr>
          <w:rFonts w:eastAsiaTheme="minorEastAsia"/>
          <w:i/>
        </w:rPr>
        <w:outlineLvl w:val="0"/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а.)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</w:t>
      </w:r>
      <w:r>
        <w:rPr>
          <w:rFonts w:ascii="Times New Roman" w:hAnsi="Times New Roman" w:cs="Times New Roman"/>
          <w:sz w:val="24"/>
          <w:szCs w:val="24"/>
        </w:rPr>
        <w:t xml:space="preserve">аличи</w:t>
      </w:r>
      <w:r>
        <w:rPr>
          <w:rFonts w:ascii="Times New Roman" w:hAnsi="Times New Roman" w:cs="Times New Roman"/>
          <w:sz w:val="24"/>
          <w:szCs w:val="24"/>
        </w:rPr>
        <w:t xml:space="preserve">я</w:t>
      </w:r>
      <w:r>
        <w:rPr>
          <w:rFonts w:ascii="Times New Roman" w:hAnsi="Times New Roman" w:cs="Times New Roman"/>
          <w:sz w:val="24"/>
          <w:szCs w:val="24"/>
        </w:rPr>
        <w:t xml:space="preserve"> у Участника Аккред</w:t>
      </w:r>
      <w:r>
        <w:rPr>
          <w:rFonts w:ascii="Times New Roman" w:hAnsi="Times New Roman" w:cs="Times New Roman"/>
          <w:sz w:val="24"/>
          <w:szCs w:val="24"/>
        </w:rPr>
        <w:t xml:space="preserve">итации на проведение лабораторных исследований качества питьевой воды. Все определяемые показатели, которые приведены в Таблице 1 должны содержаться в области аккредитации лаборатории. Аттестат аккредитации должен действовать на весь период оказания услуг.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 xml:space="preserve">Подтверждается копией Аттестата аккредитации с приложением областей аккредитации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 xml:space="preserve">).</w:t>
      </w:r>
      <w:r>
        <w:rPr>
          <w:rFonts w:eastAsiaTheme="minorEastAsia"/>
          <w:i/>
        </w:rPr>
        <w:t xml:space="preserve"> </w:t>
      </w:r>
      <w:r>
        <w:rPr>
          <w:rFonts w:eastAsiaTheme="minorEastAsia"/>
          <w:i/>
          <w:color w:val="000000" w:themeColor="text1"/>
        </w:rPr>
        <w:t xml:space="preserve">Т</w:t>
      </w:r>
      <w:r>
        <w:rPr>
          <w:rFonts w:eastAsiaTheme="minorEastAsia"/>
          <w:i/>
          <w:color w:val="000000" w:themeColor="text1"/>
        </w:rPr>
        <w:t xml:space="preserve">ребование </w:t>
      </w:r>
      <w:r>
        <w:rPr>
          <w:rFonts w:eastAsiaTheme="minorEastAsia"/>
          <w:i/>
        </w:rPr>
        <w:t xml:space="preserve">является отборочным критерием.</w:t>
      </w:r>
      <w:r>
        <w:rPr>
          <w:rFonts w:eastAsiaTheme="minorEastAsia"/>
          <w:i/>
        </w:rPr>
      </w:r>
    </w:p>
    <w:p>
      <w:pPr>
        <w:ind w:firstLine="708"/>
        <w:jc w:val="both"/>
        <w:rPr>
          <w:rFonts w:eastAsiaTheme="minorEastAsia"/>
          <w:i/>
          <w:color w:val="000000" w:themeColor="text1"/>
        </w:rPr>
      </w:pPr>
      <w:r>
        <w:rPr>
          <w:color w:val="000000" w:themeColor="text1"/>
          <w:lang w:bidi="en-US"/>
        </w:rPr>
        <w:t xml:space="preserve">б.) </w:t>
      </w:r>
      <w:r>
        <w:rPr>
          <w:color w:val="000000" w:themeColor="text1"/>
          <w:lang w:bidi="en-US"/>
        </w:rPr>
        <w:t xml:space="preserve">н</w:t>
      </w:r>
      <w:r>
        <w:rPr>
          <w:lang w:bidi="en-US"/>
        </w:rPr>
        <w:t xml:space="preserve">аличи</w:t>
      </w:r>
      <w:r>
        <w:rPr>
          <w:lang w:bidi="en-US"/>
        </w:rPr>
        <w:t xml:space="preserve">я</w:t>
      </w:r>
      <w:r>
        <w:rPr>
          <w:lang w:bidi="en-US"/>
        </w:rPr>
        <w:t xml:space="preserve"> у Участника Аттестата об аккредитации в качестве органа инспекции с областью аккредитации на проведение санитарно-эпидемиологических экспертиз по результатам исследований питьевой воды и выдачу экспертных заключений </w:t>
      </w:r>
      <w:r>
        <w:t xml:space="preserve">в соответствии со ст.42 Федерального закона от 30.03.1999 г. № 52-ФЗ «О санитарно-эпидемиологическом благополучии населения»</w:t>
      </w:r>
      <w:r>
        <w:t xml:space="preserve">. </w:t>
      </w:r>
      <w:r>
        <w:rPr>
          <w:lang w:bidi="en-US"/>
        </w:rPr>
        <w:t xml:space="preserve">(</w:t>
      </w:r>
      <w:r>
        <w:rPr>
          <w:i/>
        </w:rPr>
        <w:t xml:space="preserve">Подтверждается копией аттестата аккредитации органа </w:t>
      </w:r>
      <w:r>
        <w:rPr>
          <w:i/>
        </w:rPr>
        <w:t xml:space="preserve">инспекции с приложением области аккредитации</w:t>
      </w:r>
      <w:r>
        <w:rPr>
          <w:i/>
        </w:rPr>
        <w:t xml:space="preserve">).</w:t>
      </w:r>
      <w:r>
        <w:rPr>
          <w:i/>
        </w:rPr>
        <w:t xml:space="preserve"> </w:t>
      </w:r>
      <w:r>
        <w:rPr>
          <w:i/>
          <w:color w:val="000000" w:themeColor="text1"/>
        </w:rPr>
        <w:t xml:space="preserve">Т</w:t>
      </w:r>
      <w:r>
        <w:rPr>
          <w:rFonts w:eastAsiaTheme="minorEastAsia"/>
          <w:i/>
          <w:color w:val="000000" w:themeColor="text1"/>
        </w:rPr>
        <w:t xml:space="preserve">ребование является отборочным критерием.</w:t>
      </w:r>
      <w:r>
        <w:rPr>
          <w:rFonts w:eastAsiaTheme="minorEastAsia"/>
          <w:i/>
          <w:color w:val="000000" w:themeColor="text1"/>
        </w:rPr>
      </w:r>
    </w:p>
    <w:p>
      <w:pPr>
        <w:ind w:firstLine="708"/>
        <w:jc w:val="both"/>
        <w:rPr>
          <w:lang w:bidi="en-US"/>
        </w:rPr>
      </w:pPr>
      <w:r>
        <w:rPr>
          <w:color w:val="000000" w:themeColor="text1"/>
          <w:lang w:bidi="en-US"/>
        </w:rPr>
        <w:t xml:space="preserve">в.) </w:t>
      </w:r>
      <w:r>
        <w:rPr>
          <w:color w:val="000000" w:themeColor="text1"/>
          <w:lang w:bidi="en-US"/>
        </w:rPr>
        <w:t xml:space="preserve">н</w:t>
      </w:r>
      <w:r>
        <w:rPr>
          <w:color w:val="000000" w:themeColor="text1"/>
          <w:lang w:bidi="en-US"/>
        </w:rPr>
        <w:t xml:space="preserve">аличие у У</w:t>
      </w:r>
      <w:r>
        <w:rPr>
          <w:lang w:bidi="en-US"/>
        </w:rPr>
        <w:t xml:space="preserve">частника действующей лицензии на медицинскую деятельность на виды работ (услуг) по санитарно-гигиеническим лабораторным исследованиям. </w:t>
      </w:r>
      <w:r>
        <w:t xml:space="preserve">Требование установлено в соответствии с подпунктом 46 пункта 1 статьи 12 Федерального закона от 04.05.2011 № 99-ФЗ «О лицензировании отдельны</w:t>
      </w:r>
      <w:bookmarkStart w:id="2" w:name="_GoBack"/>
      <w:r/>
      <w:bookmarkEnd w:id="2"/>
      <w:r>
        <w:t xml:space="preserve">х видов деятельности», а также на основании Постановления Правительства РФ от 01.06.2021 N 852 "О лицензировании медицинской деятельности (за исключением указанной</w:t>
      </w:r>
      <w:r>
        <w:t xml:space="preserve">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"Сколково") и признании утратившими силу некоторых актов Правительства Российской Федерации".</w:t>
      </w:r>
      <w:r>
        <w:t xml:space="preserve"> </w:t>
      </w:r>
      <w:r>
        <w:rPr>
          <w:lang w:bidi="en-US"/>
        </w:rPr>
        <w:t xml:space="preserve">(</w:t>
      </w:r>
      <w:r>
        <w:rPr>
          <w:i/>
        </w:rPr>
        <w:t xml:space="preserve">Подтверждается выпиской из реестра лицензий сформированной на интернет-портале Росздравнадзора - </w:t>
      </w:r>
      <w:hyperlink r:id="rId10" w:tooltip="https://roszdravnadzor.gov.ru/services/licenses" w:history="1">
        <w:r>
          <w:rPr>
            <w:rStyle w:val="884"/>
            <w:i/>
            <w:color w:val="0070c0"/>
          </w:rPr>
          <w:t xml:space="preserve">https://roszdravnadzor.gov.ru/services/licenses</w:t>
        </w:r>
      </w:hyperlink>
      <w:r>
        <w:rPr>
          <w:i/>
        </w:rPr>
        <w:t xml:space="preserve">  </w:t>
      </w:r>
      <w:r>
        <w:rPr>
          <w:rFonts w:eastAsiaTheme="minorHAnsi"/>
        </w:rPr>
        <w:t xml:space="preserve">или ссылкой  на запись Реестра, находящегося в публичном доступе в сети «Интернет», подтверждающего наличие действующих разрешений, аттестаций, лицензий требующихся по ТЗ</w:t>
      </w:r>
      <w:r>
        <w:rPr>
          <w:rFonts w:eastAsiaTheme="minorHAnsi"/>
        </w:rPr>
        <w:t xml:space="preserve">).</w:t>
      </w:r>
      <w:r>
        <w:rPr>
          <w:rFonts w:eastAsiaTheme="minorHAnsi"/>
        </w:rPr>
        <w:t xml:space="preserve"> </w:t>
      </w:r>
      <w:r>
        <w:rPr>
          <w:rFonts w:eastAsiaTheme="minorHAnsi"/>
          <w:color w:val="000000" w:themeColor="text1"/>
        </w:rPr>
        <w:t xml:space="preserve">Т</w:t>
      </w:r>
      <w:r>
        <w:rPr>
          <w:rFonts w:eastAsiaTheme="minorEastAsia"/>
          <w:i/>
          <w:color w:val="000000" w:themeColor="text1"/>
        </w:rPr>
        <w:t xml:space="preserve">ребо</w:t>
      </w:r>
      <w:r>
        <w:rPr>
          <w:rFonts w:eastAsiaTheme="minorEastAsia"/>
          <w:i/>
        </w:rPr>
        <w:t xml:space="preserve">вание является отборочным критерием.</w:t>
      </w:r>
      <w:r>
        <w:rPr>
          <w:lang w:bidi="en-US"/>
        </w:rPr>
      </w:r>
    </w:p>
    <w:p>
      <w:pPr>
        <w:jc w:val="both"/>
        <w:spacing w:before="240" w:after="240"/>
        <w:rPr>
          <w:rFonts w:eastAsia="Calibri"/>
          <w:b/>
        </w:rPr>
      </w:pPr>
      <w:r>
        <w:rPr>
          <w:rFonts w:eastAsia="Calibri"/>
          <w:b/>
        </w:rPr>
        <w:t xml:space="preserve">5.5. Требования о наличии сертифицированных систем менеджмента</w:t>
      </w:r>
      <w:r>
        <w:rPr>
          <w:rFonts w:eastAsia="Calibri"/>
          <w:b/>
        </w:rPr>
      </w:r>
    </w:p>
    <w:p>
      <w:pPr>
        <w:ind w:firstLine="708"/>
        <w:jc w:val="both"/>
        <w:spacing w:before="240" w:after="240"/>
      </w:pPr>
      <w:r>
        <w:t xml:space="preserve">Не требуется.</w:t>
      </w:r>
      <w:r/>
    </w:p>
    <w:p>
      <w:pPr>
        <w:jc w:val="both"/>
        <w:spacing w:before="240" w:after="240"/>
        <w:rPr>
          <w:rFonts w:eastAsia="Calibri"/>
          <w:b/>
          <w:bCs/>
        </w:rPr>
      </w:pPr>
      <w:r>
        <w:rPr>
          <w:rFonts w:eastAsia="Calibri"/>
          <w:b/>
        </w:rPr>
        <w:t xml:space="preserve">5.6. Требования о наличии аккредитации в Группе «Интер РАО»</w:t>
      </w:r>
      <w:r>
        <w:rPr>
          <w:rFonts w:eastAsia="Calibri"/>
          <w:b/>
          <w:bCs/>
        </w:rPr>
      </w:r>
    </w:p>
    <w:p>
      <w:pPr>
        <w:ind w:left="709"/>
        <w:jc w:val="both"/>
        <w:spacing w:before="240" w:after="240"/>
        <w:rPr>
          <w:rFonts w:eastAsia="Calibri"/>
        </w:rPr>
      </w:pPr>
      <w:r>
        <w:rPr>
          <w:rFonts w:eastAsia="Calibri"/>
        </w:rPr>
        <w:t xml:space="preserve">Не требуется.</w:t>
      </w:r>
      <w:r>
        <w:rPr>
          <w:rFonts w:eastAsia="Calibri"/>
        </w:rPr>
      </w:r>
    </w:p>
    <w:p>
      <w:pPr>
        <w:jc w:val="both"/>
        <w:spacing w:before="240" w:after="240"/>
        <w:rPr>
          <w:rFonts w:eastAsia="Calibri"/>
          <w:b/>
          <w:bCs/>
          <w:color w:val="000000" w:themeColor="text1"/>
        </w:rPr>
      </w:pPr>
      <w:r>
        <w:rPr>
          <w:rFonts w:eastAsia="Calibri"/>
          <w:b/>
        </w:rPr>
        <w:t xml:space="preserve">5.7. Т</w:t>
      </w:r>
      <w:r>
        <w:rPr>
          <w:rFonts w:eastAsia="Calibri"/>
          <w:b/>
          <w:color w:val="000000" w:themeColor="text1"/>
        </w:rPr>
        <w:t xml:space="preserve">ребования к опыту оказания аналогичных услуг</w:t>
      </w:r>
      <w:r>
        <w:rPr>
          <w:rFonts w:eastAsia="Calibri"/>
          <w:b/>
          <w:bCs/>
          <w:color w:val="000000" w:themeColor="text1"/>
        </w:rPr>
      </w:r>
    </w:p>
    <w:p>
      <w:pPr>
        <w:ind w:firstLine="708"/>
        <w:jc w:val="both"/>
        <w:rPr>
          <w:rFonts w:eastAsia="Calibri"/>
          <w:color w:val="000000" w:themeColor="text1"/>
        </w:rPr>
      </w:pPr>
      <w:r>
        <w:rPr>
          <w:color w:val="000000" w:themeColor="text1"/>
        </w:rPr>
        <w:t xml:space="preserve">Участник закупки </w:t>
      </w:r>
      <w:r>
        <w:rPr>
          <w:color w:val="000000" w:themeColor="text1"/>
        </w:rPr>
        <w:t xml:space="preserve">должен предоставить </w:t>
      </w:r>
      <w:r>
        <w:rPr>
          <w:color w:val="000000" w:themeColor="text1"/>
        </w:rPr>
        <w:t xml:space="preserve">в составе своего предложения справку о перечне и объемах выполнения аналогичных договоров по форме закупочной документации, подтверждающую наличие у него опыта оказания </w:t>
      </w:r>
      <w:r>
        <w:rPr>
          <w:color w:val="000000" w:themeColor="text1"/>
          <w:lang w:bidi="en-US"/>
        </w:rPr>
        <w:t xml:space="preserve">услуг по проведению лабораторных исследований качества питьевой воды за 3 предшествующих дате объявления закупки года  </w:t>
      </w:r>
      <w:r>
        <w:rPr>
          <w:color w:val="000000" w:themeColor="text1"/>
        </w:rPr>
        <w:t xml:space="preserve">в количестве не </w:t>
      </w:r>
      <w:r>
        <w:rPr>
          <w:rFonts w:eastAsia="Calibri"/>
          <w:color w:val="000000" w:themeColor="text1"/>
        </w:rPr>
        <w:t xml:space="preserve">менее  3 аналогичных договоров за указанный трехлетний период. </w:t>
      </w:r>
      <w:r>
        <w:rPr>
          <w:rFonts w:eastAsia="Calibri"/>
          <w:color w:val="000000" w:themeColor="text1"/>
        </w:rPr>
      </w:r>
    </w:p>
    <w:p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 xml:space="preserve">Аналогичными признаются договоры на проведение </w:t>
      </w:r>
      <w:r>
        <w:rPr>
          <w:color w:val="000000" w:themeColor="text1"/>
          <w:lang w:bidi="en-US"/>
        </w:rPr>
        <w:t xml:space="preserve">лабораторных исследований качества питьевой воды</w:t>
      </w:r>
      <w:r>
        <w:rPr>
          <w:color w:val="000000" w:themeColor="text1"/>
        </w:rPr>
        <w:t xml:space="preserve">.</w:t>
      </w:r>
      <w:r>
        <w:rPr>
          <w:color w:val="000000" w:themeColor="text1"/>
        </w:rPr>
      </w:r>
    </w:p>
    <w:p>
      <w:pPr>
        <w:jc w:val="both"/>
        <w:spacing w:before="240" w:after="240"/>
        <w:rPr>
          <w:rFonts w:eastAsia="Calibri"/>
          <w:b/>
        </w:rPr>
      </w:pPr>
      <w:r>
        <w:rPr>
          <w:rFonts w:eastAsia="Calibri"/>
          <w:b/>
        </w:rPr>
        <w:t xml:space="preserve">5.8. Требования к субподрядным организациям </w:t>
      </w:r>
      <w:r>
        <w:rPr>
          <w:rFonts w:eastAsia="Calibri"/>
          <w:b/>
        </w:rPr>
      </w:r>
    </w:p>
    <w:p>
      <w:pPr>
        <w:pStyle w:val="888"/>
        <w:ind w:right="40" w:firstLine="720"/>
        <w:spacing w:before="0" w:line="240" w:lineRule="auto"/>
        <w:rPr>
          <w:rFonts w:eastAsia="Calibri"/>
          <w:sz w:val="24"/>
          <w:szCs w:val="24"/>
        </w:rPr>
      </w:pPr>
      <w:r>
        <w:rPr>
          <w:sz w:val="24"/>
          <w:szCs w:val="24"/>
        </w:rPr>
        <w:t xml:space="preserve">Требования, указанные в пунктах 5.1 и 5.7. настоящего технического задания, </w:t>
      </w:r>
      <w:r>
        <w:rPr>
          <w:rFonts w:eastAsia="Calibri"/>
          <w:sz w:val="24"/>
          <w:szCs w:val="24"/>
        </w:rPr>
        <w:t xml:space="preserve">применимы к привлекаемым Участниками субподрядчикам (соисполнителям), в объеме поручаемых им работ. Документы, подтверждающие соответствие требованиям, должны представляться в составе заявки участника.</w:t>
      </w:r>
      <w:r>
        <w:rPr>
          <w:rFonts w:eastAsia="Calibri"/>
          <w:sz w:val="24"/>
          <w:szCs w:val="24"/>
        </w:rPr>
      </w:r>
    </w:p>
    <w:p>
      <w:pPr>
        <w:pStyle w:val="888"/>
        <w:ind w:right="40" w:firstLine="720"/>
        <w:spacing w:before="0" w:line="240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Порядок и критерии выбора/замены выбранных и согласованных Заказчиком в процессе закупки субподрядчиков (соисполнителей), после проведения закупки и заключения договора с Победителем, изложены в п. 3.9 настоящего технического задания.</w:t>
      </w:r>
      <w:r>
        <w:rPr>
          <w:rFonts w:eastAsia="Calibri"/>
          <w:sz w:val="24"/>
          <w:szCs w:val="24"/>
        </w:rPr>
      </w:r>
    </w:p>
    <w:p>
      <w:pPr>
        <w:jc w:val="both"/>
        <w:spacing w:before="240" w:after="240"/>
        <w:rPr>
          <w:rFonts w:eastAsia="Calibri"/>
          <w:b/>
        </w:rPr>
      </w:pPr>
      <w:r>
        <w:rPr>
          <w:rFonts w:eastAsia="Calibri"/>
          <w:b/>
        </w:rPr>
        <w:t xml:space="preserve">6. Приложения к ТЗ</w:t>
      </w:r>
      <w:r>
        <w:rPr>
          <w:rFonts w:eastAsia="Calibri"/>
          <w:b/>
        </w:rPr>
      </w:r>
    </w:p>
    <w:p>
      <w:pPr>
        <w:jc w:val="both"/>
        <w:spacing w:before="240" w:after="240"/>
        <w:rPr>
          <w:i/>
        </w:rPr>
      </w:pPr>
      <w:r>
        <w:t xml:space="preserve">Приложение № 1 – «Коммерческое предложение» </w:t>
      </w:r>
      <w:r>
        <w:rPr>
          <w:i/>
        </w:rPr>
        <w:t xml:space="preserve">(файл </w:t>
      </w:r>
      <w:r>
        <w:rPr>
          <w:i/>
          <w:lang w:val="en-US"/>
        </w:rPr>
        <w:t xml:space="preserve">Excel</w:t>
      </w:r>
      <w:r>
        <w:rPr>
          <w:i/>
        </w:rPr>
        <w:t xml:space="preserve"> «Коммерческое предложение»)</w:t>
      </w:r>
      <w:r>
        <w:rPr>
          <w:i/>
        </w:rPr>
      </w:r>
    </w:p>
    <w:p>
      <w:r/>
      <w:bookmarkEnd w:id="0"/>
      <w:r/>
    </w:p>
    <w:sectPr>
      <w:footnotePr/>
      <w:endnotePr/>
      <w:type w:val="nextPage"/>
      <w:pgSz w:w="11907" w:h="16840" w:orient="portrait"/>
      <w:pgMar w:top="568" w:right="992" w:bottom="709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Calibri">
    <w:panose1 w:val="020F0502020204030204"/>
  </w:font>
  <w:font w:name="Consolas">
    <w:panose1 w:val="020B06060202020302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ascii="Times New Roman" w:hAnsi="Times New Roman" w:eastAsia="Calibri" w:cs="Arial"/>
      </w:rPr>
    </w:lvl>
    <w:lvl w:ilvl="1">
      <w:start w:val="1"/>
      <w:numFmt w:val="decimal"/>
      <w:isLgl w:val="false"/>
      <w:suff w:val="tab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suff w:val="tab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isLgl w:val="false"/>
      <w:suff w:val="tab"/>
      <w:lvlText w:val="%1.%2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isLgl w:val="false"/>
      <w:suff w:val="tab"/>
      <w:lvlText w:val="%1.%2.%3"/>
      <w:lvlJc w:val="left"/>
      <w:pPr>
        <w:ind w:left="862" w:hanging="720"/>
      </w:pPr>
      <w:rPr>
        <w:rFonts w:hint="default" w:ascii="Times New Roman" w:hAnsi="Times New Roman" w:cs="Times New Roman"/>
        <w:sz w:val="24"/>
        <w:szCs w:val="24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86" w:hanging="360"/>
        <w:tabs>
          <w:tab w:val="num" w:pos="786" w:leader="none"/>
        </w:tabs>
      </w:pPr>
      <w:rPr>
        <w:b w:val="0"/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136" w:hanging="360"/>
        <w:tabs>
          <w:tab w:val="num" w:pos="2136" w:leader="none"/>
        </w:tabs>
      </w:pPr>
      <w:rPr>
        <w:rFonts w:cs="Times New Roman"/>
        <w:b w:val="0"/>
        <w:i w:val="0"/>
        <w:color w:val="auto"/>
      </w:rPr>
    </w:lvl>
    <w:lvl w:ilvl="1">
      <w:start w:val="1"/>
      <w:numFmt w:val="lowerLetter"/>
      <w:isLgl w:val="false"/>
      <w:suff w:val="tab"/>
      <w:lvlText w:val="%2."/>
      <w:lvlJc w:val="left"/>
      <w:pPr>
        <w:ind w:left="2856" w:hanging="360"/>
        <w:tabs>
          <w:tab w:val="num" w:pos="2856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3576" w:hanging="180"/>
        <w:tabs>
          <w:tab w:val="num" w:pos="3576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4296" w:hanging="360"/>
        <w:tabs>
          <w:tab w:val="num" w:pos="4296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5016" w:hanging="360"/>
        <w:tabs>
          <w:tab w:val="num" w:pos="5016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5736" w:hanging="180"/>
        <w:tabs>
          <w:tab w:val="num" w:pos="5736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6456" w:hanging="360"/>
        <w:tabs>
          <w:tab w:val="num" w:pos="6456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7176" w:hanging="360"/>
        <w:tabs>
          <w:tab w:val="num" w:pos="7176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896" w:hanging="180"/>
        <w:tabs>
          <w:tab w:val="num" w:pos="7896" w:leader="none"/>
        </w:tabs>
      </w:pPr>
      <w:rPr>
        <w:rFonts w:cs="Times New Roman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"/>
  </w:num>
  <w:num w:numId="7">
    <w:abstractNumId w:val="5"/>
  </w:num>
  <w:num w:numId="8">
    <w:abstractNumId w:val="8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35">
    <w:name w:val="Title Char"/>
    <w:basedOn w:val="682"/>
    <w:link w:val="694"/>
    <w:uiPriority w:val="10"/>
    <w:rPr>
      <w:sz w:val="48"/>
      <w:szCs w:val="48"/>
    </w:rPr>
  </w:style>
  <w:style w:type="character" w:styleId="176">
    <w:name w:val="Footnote Text Char"/>
    <w:link w:val="828"/>
    <w:uiPriority w:val="99"/>
    <w:rPr>
      <w:sz w:val="18"/>
    </w:rPr>
  </w:style>
  <w:style w:type="character" w:styleId="179">
    <w:name w:val="Endnote Text Char"/>
    <w:link w:val="831"/>
    <w:uiPriority w:val="99"/>
    <w:rPr>
      <w:sz w:val="20"/>
    </w:rPr>
  </w:style>
  <w:style w:type="paragraph" w:styleId="672" w:default="1">
    <w:name w:val="Normal"/>
    <w:qFormat/>
    <w:rPr>
      <w:sz w:val="24"/>
      <w:szCs w:val="24"/>
      <w:lang w:eastAsia="en-US"/>
    </w:rPr>
  </w:style>
  <w:style w:type="paragraph" w:styleId="673">
    <w:name w:val="Heading 1"/>
    <w:basedOn w:val="672"/>
    <w:next w:val="672"/>
    <w:link w:val="844"/>
    <w:uiPriority w:val="9"/>
    <w:qFormat/>
    <w:pPr>
      <w:keepNext/>
      <w:spacing w:before="240" w:after="60"/>
      <w:outlineLvl w:val="0"/>
    </w:pPr>
    <w:rPr>
      <w:rFonts w:ascii="Arial" w:hAnsi="Arial"/>
      <w:b/>
      <w:bCs/>
      <w:sz w:val="32"/>
      <w:szCs w:val="32"/>
    </w:rPr>
  </w:style>
  <w:style w:type="paragraph" w:styleId="674">
    <w:name w:val="Heading 2"/>
    <w:basedOn w:val="672"/>
    <w:next w:val="672"/>
    <w:link w:val="845"/>
    <w:uiPriority w:val="9"/>
    <w:semiHidden/>
    <w:unhideWhenUsed/>
    <w:qFormat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675">
    <w:name w:val="Heading 3"/>
    <w:basedOn w:val="672"/>
    <w:next w:val="672"/>
    <w:link w:val="846"/>
    <w:uiPriority w:val="9"/>
    <w:semiHidden/>
    <w:unhideWhenUsed/>
    <w:qFormat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676">
    <w:name w:val="Heading 4"/>
    <w:basedOn w:val="672"/>
    <w:next w:val="672"/>
    <w:link w:val="847"/>
    <w:uiPriority w:val="9"/>
    <w:semiHidden/>
    <w:unhideWhenUsed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77">
    <w:name w:val="Heading 5"/>
    <w:basedOn w:val="672"/>
    <w:next w:val="672"/>
    <w:link w:val="848"/>
    <w:uiPriority w:val="9"/>
    <w:semiHidden/>
    <w:unhideWhenUsed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78">
    <w:name w:val="Heading 6"/>
    <w:basedOn w:val="672"/>
    <w:next w:val="672"/>
    <w:link w:val="849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679">
    <w:name w:val="Heading 7"/>
    <w:basedOn w:val="672"/>
    <w:next w:val="672"/>
    <w:link w:val="850"/>
    <w:uiPriority w:val="9"/>
    <w:semiHidden/>
    <w:unhideWhenUsed/>
    <w:qFormat/>
    <w:pPr>
      <w:spacing w:before="240" w:after="60"/>
      <w:outlineLvl w:val="6"/>
    </w:pPr>
  </w:style>
  <w:style w:type="paragraph" w:styleId="680">
    <w:name w:val="Heading 8"/>
    <w:basedOn w:val="672"/>
    <w:next w:val="672"/>
    <w:link w:val="851"/>
    <w:uiPriority w:val="9"/>
    <w:semiHidden/>
    <w:unhideWhenUsed/>
    <w:qFormat/>
    <w:pPr>
      <w:spacing w:before="240" w:after="60"/>
      <w:outlineLvl w:val="7"/>
    </w:pPr>
    <w:rPr>
      <w:i/>
      <w:iCs/>
    </w:rPr>
  </w:style>
  <w:style w:type="paragraph" w:styleId="681">
    <w:name w:val="Heading 9"/>
    <w:basedOn w:val="672"/>
    <w:next w:val="672"/>
    <w:link w:val="852"/>
    <w:uiPriority w:val="9"/>
    <w:semiHidden/>
    <w:unhideWhenUsed/>
    <w:qFormat/>
    <w:pPr>
      <w:spacing w:before="240" w:after="60"/>
      <w:outlineLvl w:val="8"/>
    </w:pPr>
    <w:rPr>
      <w:rFonts w:ascii="Arial" w:hAnsi="Arial"/>
      <w:sz w:val="22"/>
      <w:szCs w:val="22"/>
    </w:rPr>
  </w:style>
  <w:style w:type="character" w:styleId="682" w:default="1">
    <w:name w:val="Default Paragraph Font"/>
    <w:uiPriority w:val="1"/>
    <w:semiHidden/>
    <w:unhideWhenUsed/>
  </w:style>
  <w:style w:type="table" w:styleId="68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4" w:default="1">
    <w:name w:val="No List"/>
    <w:uiPriority w:val="99"/>
    <w:semiHidden/>
    <w:unhideWhenUsed/>
  </w:style>
  <w:style w:type="character" w:styleId="685" w:customStyle="1">
    <w:name w:val="Heading 1 Char"/>
    <w:basedOn w:val="682"/>
    <w:uiPriority w:val="9"/>
    <w:rPr>
      <w:rFonts w:ascii="Arial" w:hAnsi="Arial" w:eastAsia="Arial" w:cs="Arial"/>
      <w:sz w:val="40"/>
      <w:szCs w:val="40"/>
    </w:rPr>
  </w:style>
  <w:style w:type="character" w:styleId="686" w:customStyle="1">
    <w:name w:val="Heading 2 Char"/>
    <w:basedOn w:val="682"/>
    <w:uiPriority w:val="9"/>
    <w:rPr>
      <w:rFonts w:ascii="Arial" w:hAnsi="Arial" w:eastAsia="Arial" w:cs="Arial"/>
      <w:sz w:val="34"/>
    </w:rPr>
  </w:style>
  <w:style w:type="character" w:styleId="687" w:customStyle="1">
    <w:name w:val="Heading 3 Char"/>
    <w:basedOn w:val="682"/>
    <w:uiPriority w:val="9"/>
    <w:rPr>
      <w:rFonts w:ascii="Arial" w:hAnsi="Arial" w:eastAsia="Arial" w:cs="Arial"/>
      <w:sz w:val="30"/>
      <w:szCs w:val="30"/>
    </w:rPr>
  </w:style>
  <w:style w:type="character" w:styleId="688" w:customStyle="1">
    <w:name w:val="Heading 4 Char"/>
    <w:basedOn w:val="682"/>
    <w:uiPriority w:val="9"/>
    <w:rPr>
      <w:rFonts w:ascii="Arial" w:hAnsi="Arial" w:eastAsia="Arial" w:cs="Arial"/>
      <w:b/>
      <w:bCs/>
      <w:sz w:val="26"/>
      <w:szCs w:val="26"/>
    </w:rPr>
  </w:style>
  <w:style w:type="character" w:styleId="689" w:customStyle="1">
    <w:name w:val="Heading 5 Char"/>
    <w:basedOn w:val="682"/>
    <w:uiPriority w:val="9"/>
    <w:rPr>
      <w:rFonts w:ascii="Arial" w:hAnsi="Arial" w:eastAsia="Arial" w:cs="Arial"/>
      <w:b/>
      <w:bCs/>
      <w:sz w:val="24"/>
      <w:szCs w:val="24"/>
    </w:rPr>
  </w:style>
  <w:style w:type="character" w:styleId="690" w:customStyle="1">
    <w:name w:val="Heading 6 Char"/>
    <w:basedOn w:val="682"/>
    <w:uiPriority w:val="9"/>
    <w:rPr>
      <w:rFonts w:ascii="Arial" w:hAnsi="Arial" w:eastAsia="Arial" w:cs="Arial"/>
      <w:b/>
      <w:bCs/>
      <w:sz w:val="22"/>
      <w:szCs w:val="22"/>
    </w:rPr>
  </w:style>
  <w:style w:type="character" w:styleId="691" w:customStyle="1">
    <w:name w:val="Heading 7 Char"/>
    <w:basedOn w:val="68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2" w:customStyle="1">
    <w:name w:val="Heading 8 Char"/>
    <w:basedOn w:val="682"/>
    <w:uiPriority w:val="9"/>
    <w:rPr>
      <w:rFonts w:ascii="Arial" w:hAnsi="Arial" w:eastAsia="Arial" w:cs="Arial"/>
      <w:i/>
      <w:iCs/>
      <w:sz w:val="22"/>
      <w:szCs w:val="22"/>
    </w:rPr>
  </w:style>
  <w:style w:type="character" w:styleId="693" w:customStyle="1">
    <w:name w:val="Heading 9 Char"/>
    <w:basedOn w:val="682"/>
    <w:uiPriority w:val="9"/>
    <w:rPr>
      <w:rFonts w:ascii="Arial" w:hAnsi="Arial" w:eastAsia="Arial" w:cs="Arial"/>
      <w:i/>
      <w:iCs/>
      <w:sz w:val="21"/>
      <w:szCs w:val="21"/>
    </w:rPr>
  </w:style>
  <w:style w:type="paragraph" w:styleId="694">
    <w:name w:val="Title"/>
    <w:basedOn w:val="672"/>
    <w:next w:val="672"/>
    <w:link w:val="69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5" w:customStyle="1">
    <w:name w:val="Заголовок Знак1"/>
    <w:basedOn w:val="682"/>
    <w:link w:val="694"/>
    <w:uiPriority w:val="10"/>
    <w:rPr>
      <w:sz w:val="48"/>
      <w:szCs w:val="48"/>
    </w:rPr>
  </w:style>
  <w:style w:type="character" w:styleId="696" w:customStyle="1">
    <w:name w:val="Subtitle Char"/>
    <w:basedOn w:val="682"/>
    <w:uiPriority w:val="11"/>
    <w:rPr>
      <w:sz w:val="24"/>
      <w:szCs w:val="24"/>
    </w:rPr>
  </w:style>
  <w:style w:type="character" w:styleId="697" w:customStyle="1">
    <w:name w:val="Quote Char"/>
    <w:uiPriority w:val="29"/>
    <w:rPr>
      <w:i/>
    </w:rPr>
  </w:style>
  <w:style w:type="character" w:styleId="698" w:customStyle="1">
    <w:name w:val="Intense Quote Char"/>
    <w:uiPriority w:val="30"/>
    <w:rPr>
      <w:i/>
    </w:rPr>
  </w:style>
  <w:style w:type="character" w:styleId="699" w:customStyle="1">
    <w:name w:val="Header Char"/>
    <w:basedOn w:val="682"/>
    <w:uiPriority w:val="99"/>
  </w:style>
  <w:style w:type="character" w:styleId="700" w:customStyle="1">
    <w:name w:val="Footer Char"/>
    <w:basedOn w:val="682"/>
    <w:uiPriority w:val="99"/>
  </w:style>
  <w:style w:type="paragraph" w:styleId="701">
    <w:name w:val="Caption"/>
    <w:basedOn w:val="672"/>
    <w:next w:val="67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2" w:customStyle="1">
    <w:name w:val="Caption Char"/>
    <w:uiPriority w:val="99"/>
  </w:style>
  <w:style w:type="table" w:styleId="703" w:customStyle="1">
    <w:name w:val="Table Grid Light"/>
    <w:basedOn w:val="683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04">
    <w:name w:val="Plain Table 1"/>
    <w:basedOn w:val="683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5">
    <w:name w:val="Plain Table 2"/>
    <w:basedOn w:val="683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6">
    <w:name w:val="Plain Table 3"/>
    <w:basedOn w:val="683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7">
    <w:name w:val="Plain Table 4"/>
    <w:basedOn w:val="683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Plain Table 5"/>
    <w:basedOn w:val="683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9">
    <w:name w:val="Grid Table 1 Light"/>
    <w:basedOn w:val="683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 w:customStyle="1">
    <w:name w:val="Grid Table 1 Light - Accent 1"/>
    <w:basedOn w:val="683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 w:customStyle="1">
    <w:name w:val="Grid Table 1 Light - Accent 2"/>
    <w:basedOn w:val="683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 w:customStyle="1">
    <w:name w:val="Grid Table 1 Light - Accent 3"/>
    <w:basedOn w:val="683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 w:customStyle="1">
    <w:name w:val="Grid Table 1 Light - Accent 4"/>
    <w:basedOn w:val="683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 w:customStyle="1">
    <w:name w:val="Grid Table 1 Light - Accent 5"/>
    <w:basedOn w:val="683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 w:customStyle="1">
    <w:name w:val="Grid Table 1 Light - Accent 6"/>
    <w:basedOn w:val="683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2"/>
    <w:basedOn w:val="683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 w:customStyle="1">
    <w:name w:val="Grid Table 2 - Accent 1"/>
    <w:basedOn w:val="683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 w:customStyle="1">
    <w:name w:val="Grid Table 2 - Accent 2"/>
    <w:basedOn w:val="683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 w:customStyle="1">
    <w:name w:val="Grid Table 2 - Accent 3"/>
    <w:basedOn w:val="683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 w:customStyle="1">
    <w:name w:val="Grid Table 2 - Accent 4"/>
    <w:basedOn w:val="683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 w:customStyle="1">
    <w:name w:val="Grid Table 2 - Accent 5"/>
    <w:basedOn w:val="683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 w:customStyle="1">
    <w:name w:val="Grid Table 2 - Accent 6"/>
    <w:basedOn w:val="683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"/>
    <w:basedOn w:val="683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3 - Accent 1"/>
    <w:basedOn w:val="683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3 - Accent 2"/>
    <w:basedOn w:val="683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3 - Accent 3"/>
    <w:basedOn w:val="683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3 - Accent 4"/>
    <w:basedOn w:val="683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3 - Accent 5"/>
    <w:basedOn w:val="683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3 - Accent 6"/>
    <w:basedOn w:val="683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4"/>
    <w:basedOn w:val="683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1" w:customStyle="1">
    <w:name w:val="Grid Table 4 - Accent 1"/>
    <w:basedOn w:val="683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32" w:customStyle="1">
    <w:name w:val="Grid Table 4 - Accent 2"/>
    <w:basedOn w:val="683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33" w:customStyle="1">
    <w:name w:val="Grid Table 4 - Accent 3"/>
    <w:basedOn w:val="683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34" w:customStyle="1">
    <w:name w:val="Grid Table 4 - Accent 4"/>
    <w:basedOn w:val="683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35" w:customStyle="1">
    <w:name w:val="Grid Table 4 - Accent 5"/>
    <w:basedOn w:val="683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36" w:customStyle="1">
    <w:name w:val="Grid Table 4 - Accent 6"/>
    <w:basedOn w:val="683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37">
    <w:name w:val="Grid Table 5 Dark"/>
    <w:basedOn w:val="68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38" w:customStyle="1">
    <w:name w:val="Grid Table 5 Dark- Accent 1"/>
    <w:basedOn w:val="68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39" w:customStyle="1">
    <w:name w:val="Grid Table 5 Dark - Accent 2"/>
    <w:basedOn w:val="68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40" w:customStyle="1">
    <w:name w:val="Grid Table 5 Dark - Accent 3"/>
    <w:basedOn w:val="68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41" w:customStyle="1">
    <w:name w:val="Grid Table 5 Dark- Accent 4"/>
    <w:basedOn w:val="68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42" w:customStyle="1">
    <w:name w:val="Grid Table 5 Dark - Accent 5"/>
    <w:basedOn w:val="68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43" w:customStyle="1">
    <w:name w:val="Grid Table 5 Dark - Accent 6"/>
    <w:basedOn w:val="68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44">
    <w:name w:val="Grid Table 6 Colorful"/>
    <w:basedOn w:val="683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45" w:customStyle="1">
    <w:name w:val="Grid Table 6 Colorful - Accent 1"/>
    <w:basedOn w:val="683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46" w:customStyle="1">
    <w:name w:val="Grid Table 6 Colorful - Accent 2"/>
    <w:basedOn w:val="683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47" w:customStyle="1">
    <w:name w:val="Grid Table 6 Colorful - Accent 3"/>
    <w:basedOn w:val="683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48" w:customStyle="1">
    <w:name w:val="Grid Table 6 Colorful - Accent 4"/>
    <w:basedOn w:val="683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49" w:customStyle="1">
    <w:name w:val="Grid Table 6 Colorful - Accent 5"/>
    <w:basedOn w:val="683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50" w:customStyle="1">
    <w:name w:val="Grid Table 6 Colorful - Accent 6"/>
    <w:basedOn w:val="683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51">
    <w:name w:val="Grid Table 7 Colorful"/>
    <w:basedOn w:val="683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7 Colorful - Accent 1"/>
    <w:basedOn w:val="683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7 Colorful - Accent 2"/>
    <w:basedOn w:val="683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7 Colorful - Accent 3"/>
    <w:basedOn w:val="683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7 Colorful - Accent 4"/>
    <w:basedOn w:val="683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7 Colorful - Accent 5"/>
    <w:basedOn w:val="683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7 Colorful - Accent 6"/>
    <w:basedOn w:val="683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"/>
    <w:basedOn w:val="683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List Table 1 Light - Accent 1"/>
    <w:basedOn w:val="683"/>
    <w:uiPriority w:val="99"/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List Table 1 Light - Accent 2"/>
    <w:basedOn w:val="683"/>
    <w:uiPriority w:val="99"/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List Table 1 Light - Accent 3"/>
    <w:basedOn w:val="683"/>
    <w:uiPriority w:val="99"/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List Table 1 Light - Accent 4"/>
    <w:basedOn w:val="683"/>
    <w:uiPriority w:val="99"/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List Table 1 Light - Accent 5"/>
    <w:basedOn w:val="683"/>
    <w:uiPriority w:val="99"/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List Table 1 Light - Accent 6"/>
    <w:basedOn w:val="683"/>
    <w:uiPriority w:val="99"/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2"/>
    <w:basedOn w:val="683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66" w:customStyle="1">
    <w:name w:val="List Table 2 - Accent 1"/>
    <w:basedOn w:val="683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67" w:customStyle="1">
    <w:name w:val="List Table 2 - Accent 2"/>
    <w:basedOn w:val="683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68" w:customStyle="1">
    <w:name w:val="List Table 2 - Accent 3"/>
    <w:basedOn w:val="683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69" w:customStyle="1">
    <w:name w:val="List Table 2 - Accent 4"/>
    <w:basedOn w:val="683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70" w:customStyle="1">
    <w:name w:val="List Table 2 - Accent 5"/>
    <w:basedOn w:val="683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71" w:customStyle="1">
    <w:name w:val="List Table 2 - Accent 6"/>
    <w:basedOn w:val="683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72">
    <w:name w:val="List Table 3"/>
    <w:basedOn w:val="683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3 - Accent 1"/>
    <w:basedOn w:val="683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3 - Accent 2"/>
    <w:basedOn w:val="683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List Table 3 - Accent 3"/>
    <w:basedOn w:val="683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 w:customStyle="1">
    <w:name w:val="List Table 3 - Accent 4"/>
    <w:basedOn w:val="683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List Table 3 - Accent 5"/>
    <w:basedOn w:val="683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List Table 3 - Accent 6"/>
    <w:basedOn w:val="683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"/>
    <w:basedOn w:val="683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4 - Accent 1"/>
    <w:basedOn w:val="683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4 - Accent 2"/>
    <w:basedOn w:val="683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4 - Accent 3"/>
    <w:basedOn w:val="683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4 - Accent 4"/>
    <w:basedOn w:val="683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4 - Accent 5"/>
    <w:basedOn w:val="683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4 - Accent 6"/>
    <w:basedOn w:val="683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5 Dark"/>
    <w:basedOn w:val="683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7" w:customStyle="1">
    <w:name w:val="List Table 5 Dark - Accent 1"/>
    <w:basedOn w:val="683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8" w:customStyle="1">
    <w:name w:val="List Table 5 Dark - Accent 2"/>
    <w:basedOn w:val="683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9" w:customStyle="1">
    <w:name w:val="List Table 5 Dark - Accent 3"/>
    <w:basedOn w:val="683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0" w:customStyle="1">
    <w:name w:val="List Table 5 Dark - Accent 4"/>
    <w:basedOn w:val="683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1" w:customStyle="1">
    <w:name w:val="List Table 5 Dark - Accent 5"/>
    <w:basedOn w:val="683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2" w:customStyle="1">
    <w:name w:val="List Table 5 Dark - Accent 6"/>
    <w:basedOn w:val="683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3">
    <w:name w:val="List Table 6 Colorful"/>
    <w:basedOn w:val="683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94" w:customStyle="1">
    <w:name w:val="List Table 6 Colorful - Accent 1"/>
    <w:basedOn w:val="683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795" w:customStyle="1">
    <w:name w:val="List Table 6 Colorful - Accent 2"/>
    <w:basedOn w:val="683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796" w:customStyle="1">
    <w:name w:val="List Table 6 Colorful - Accent 3"/>
    <w:basedOn w:val="683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797" w:customStyle="1">
    <w:name w:val="List Table 6 Colorful - Accent 4"/>
    <w:basedOn w:val="683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798" w:customStyle="1">
    <w:name w:val="List Table 6 Colorful - Accent 5"/>
    <w:basedOn w:val="683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799" w:customStyle="1">
    <w:name w:val="List Table 6 Colorful - Accent 6"/>
    <w:basedOn w:val="683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00">
    <w:name w:val="List Table 7 Colorful"/>
    <w:basedOn w:val="683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List Table 7 Colorful - Accent 1"/>
    <w:basedOn w:val="683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List Table 7 Colorful - Accent 2"/>
    <w:basedOn w:val="683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List Table 7 Colorful - Accent 3"/>
    <w:basedOn w:val="683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List Table 7 Colorful - Accent 4"/>
    <w:basedOn w:val="683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List Table 7 Colorful - Accent 5"/>
    <w:basedOn w:val="683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List Table 7 Colorful - Accent 6"/>
    <w:basedOn w:val="683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Lined - Accent"/>
    <w:basedOn w:val="68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08" w:customStyle="1">
    <w:name w:val="Lined - Accent 1"/>
    <w:basedOn w:val="68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09" w:customStyle="1">
    <w:name w:val="Lined - Accent 2"/>
    <w:basedOn w:val="68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10" w:customStyle="1">
    <w:name w:val="Lined - Accent 3"/>
    <w:basedOn w:val="68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11" w:customStyle="1">
    <w:name w:val="Lined - Accent 4"/>
    <w:basedOn w:val="68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12" w:customStyle="1">
    <w:name w:val="Lined - Accent 5"/>
    <w:basedOn w:val="68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13" w:customStyle="1">
    <w:name w:val="Lined - Accent 6"/>
    <w:basedOn w:val="68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14" w:customStyle="1">
    <w:name w:val="Bordered &amp; Lined - Accent"/>
    <w:basedOn w:val="683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5" w:customStyle="1">
    <w:name w:val="Bordered &amp; Lined - Accent 1"/>
    <w:basedOn w:val="683"/>
    <w:uiPriority w:val="99"/>
    <w:rPr>
      <w:color w:val="40404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16" w:customStyle="1">
    <w:name w:val="Bordered &amp; Lined - Accent 2"/>
    <w:basedOn w:val="683"/>
    <w:uiPriority w:val="99"/>
    <w:rPr>
      <w:color w:val="40404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17" w:customStyle="1">
    <w:name w:val="Bordered &amp; Lined - Accent 3"/>
    <w:basedOn w:val="683"/>
    <w:uiPriority w:val="99"/>
    <w:rPr>
      <w:color w:val="40404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18" w:customStyle="1">
    <w:name w:val="Bordered &amp; Lined - Accent 4"/>
    <w:basedOn w:val="683"/>
    <w:uiPriority w:val="99"/>
    <w:rPr>
      <w:color w:val="40404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19" w:customStyle="1">
    <w:name w:val="Bordered &amp; Lined - Accent 5"/>
    <w:basedOn w:val="683"/>
    <w:uiPriority w:val="99"/>
    <w:rPr>
      <w:color w:val="40404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20" w:customStyle="1">
    <w:name w:val="Bordered &amp; Lined - Accent 6"/>
    <w:basedOn w:val="683"/>
    <w:uiPriority w:val="99"/>
    <w:rPr>
      <w:color w:val="40404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21" w:customStyle="1">
    <w:name w:val="Bordered"/>
    <w:basedOn w:val="683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22" w:customStyle="1">
    <w:name w:val="Bordered - Accent 1"/>
    <w:basedOn w:val="683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23" w:customStyle="1">
    <w:name w:val="Bordered - Accent 2"/>
    <w:basedOn w:val="683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24" w:customStyle="1">
    <w:name w:val="Bordered - Accent 3"/>
    <w:basedOn w:val="683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25" w:customStyle="1">
    <w:name w:val="Bordered - Accent 4"/>
    <w:basedOn w:val="683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26" w:customStyle="1">
    <w:name w:val="Bordered - Accent 5"/>
    <w:basedOn w:val="683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27" w:customStyle="1">
    <w:name w:val="Bordered - Accent 6"/>
    <w:basedOn w:val="683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28">
    <w:name w:val="footnote text"/>
    <w:basedOn w:val="672"/>
    <w:link w:val="829"/>
    <w:uiPriority w:val="99"/>
    <w:semiHidden/>
    <w:unhideWhenUsed/>
    <w:pPr>
      <w:spacing w:after="40"/>
    </w:pPr>
    <w:rPr>
      <w:sz w:val="18"/>
    </w:rPr>
  </w:style>
  <w:style w:type="character" w:styleId="829" w:customStyle="1">
    <w:name w:val="Текст сноски Знак"/>
    <w:link w:val="828"/>
    <w:uiPriority w:val="99"/>
    <w:rPr>
      <w:sz w:val="18"/>
    </w:rPr>
  </w:style>
  <w:style w:type="character" w:styleId="830">
    <w:name w:val="footnote reference"/>
    <w:basedOn w:val="682"/>
    <w:uiPriority w:val="99"/>
    <w:unhideWhenUsed/>
    <w:rPr>
      <w:vertAlign w:val="superscript"/>
    </w:rPr>
  </w:style>
  <w:style w:type="paragraph" w:styleId="831">
    <w:name w:val="endnote text"/>
    <w:basedOn w:val="672"/>
    <w:link w:val="832"/>
    <w:uiPriority w:val="99"/>
    <w:semiHidden/>
    <w:unhideWhenUsed/>
    <w:rPr>
      <w:sz w:val="20"/>
    </w:rPr>
  </w:style>
  <w:style w:type="character" w:styleId="832" w:customStyle="1">
    <w:name w:val="Текст концевой сноски Знак"/>
    <w:link w:val="831"/>
    <w:uiPriority w:val="99"/>
    <w:rPr>
      <w:sz w:val="20"/>
    </w:rPr>
  </w:style>
  <w:style w:type="character" w:styleId="833">
    <w:name w:val="endnote reference"/>
    <w:basedOn w:val="682"/>
    <w:uiPriority w:val="99"/>
    <w:semiHidden/>
    <w:unhideWhenUsed/>
    <w:rPr>
      <w:vertAlign w:val="superscript"/>
    </w:rPr>
  </w:style>
  <w:style w:type="paragraph" w:styleId="834">
    <w:name w:val="toc 1"/>
    <w:basedOn w:val="672"/>
    <w:next w:val="672"/>
    <w:uiPriority w:val="39"/>
    <w:unhideWhenUsed/>
    <w:pPr>
      <w:spacing w:after="57"/>
    </w:pPr>
  </w:style>
  <w:style w:type="paragraph" w:styleId="835">
    <w:name w:val="toc 2"/>
    <w:basedOn w:val="672"/>
    <w:next w:val="672"/>
    <w:uiPriority w:val="39"/>
    <w:unhideWhenUsed/>
    <w:pPr>
      <w:ind w:left="283"/>
      <w:spacing w:after="57"/>
    </w:pPr>
  </w:style>
  <w:style w:type="paragraph" w:styleId="836">
    <w:name w:val="toc 3"/>
    <w:basedOn w:val="672"/>
    <w:next w:val="672"/>
    <w:uiPriority w:val="39"/>
    <w:unhideWhenUsed/>
    <w:pPr>
      <w:ind w:left="567"/>
      <w:spacing w:after="57"/>
    </w:pPr>
  </w:style>
  <w:style w:type="paragraph" w:styleId="837">
    <w:name w:val="toc 4"/>
    <w:basedOn w:val="672"/>
    <w:next w:val="672"/>
    <w:uiPriority w:val="39"/>
    <w:unhideWhenUsed/>
    <w:pPr>
      <w:ind w:left="850"/>
      <w:spacing w:after="57"/>
    </w:pPr>
  </w:style>
  <w:style w:type="paragraph" w:styleId="838">
    <w:name w:val="toc 5"/>
    <w:basedOn w:val="672"/>
    <w:next w:val="672"/>
    <w:uiPriority w:val="39"/>
    <w:unhideWhenUsed/>
    <w:pPr>
      <w:ind w:left="1134"/>
      <w:spacing w:after="57"/>
    </w:pPr>
  </w:style>
  <w:style w:type="paragraph" w:styleId="839">
    <w:name w:val="toc 6"/>
    <w:basedOn w:val="672"/>
    <w:next w:val="672"/>
    <w:uiPriority w:val="39"/>
    <w:unhideWhenUsed/>
    <w:pPr>
      <w:ind w:left="1417"/>
      <w:spacing w:after="57"/>
    </w:pPr>
  </w:style>
  <w:style w:type="paragraph" w:styleId="840">
    <w:name w:val="toc 7"/>
    <w:basedOn w:val="672"/>
    <w:next w:val="672"/>
    <w:uiPriority w:val="39"/>
    <w:unhideWhenUsed/>
    <w:pPr>
      <w:ind w:left="1701"/>
      <w:spacing w:after="57"/>
    </w:pPr>
  </w:style>
  <w:style w:type="paragraph" w:styleId="841">
    <w:name w:val="toc 8"/>
    <w:basedOn w:val="672"/>
    <w:next w:val="672"/>
    <w:uiPriority w:val="39"/>
    <w:unhideWhenUsed/>
    <w:pPr>
      <w:ind w:left="1984"/>
      <w:spacing w:after="57"/>
    </w:pPr>
  </w:style>
  <w:style w:type="paragraph" w:styleId="842">
    <w:name w:val="toc 9"/>
    <w:basedOn w:val="672"/>
    <w:next w:val="672"/>
    <w:uiPriority w:val="39"/>
    <w:unhideWhenUsed/>
    <w:pPr>
      <w:ind w:left="2268"/>
      <w:spacing w:after="57"/>
    </w:pPr>
  </w:style>
  <w:style w:type="paragraph" w:styleId="843">
    <w:name w:val="table of figures"/>
    <w:basedOn w:val="672"/>
    <w:next w:val="672"/>
    <w:uiPriority w:val="99"/>
    <w:unhideWhenUsed/>
  </w:style>
  <w:style w:type="character" w:styleId="844" w:customStyle="1">
    <w:name w:val="Заголовок 1 Знак"/>
    <w:link w:val="673"/>
    <w:uiPriority w:val="9"/>
    <w:rPr>
      <w:rFonts w:ascii="Arial" w:hAnsi="Arial" w:eastAsia="Times New Roman"/>
      <w:b/>
      <w:bCs/>
      <w:sz w:val="32"/>
      <w:szCs w:val="32"/>
    </w:rPr>
  </w:style>
  <w:style w:type="character" w:styleId="845" w:customStyle="1">
    <w:name w:val="Заголовок 2 Знак"/>
    <w:link w:val="674"/>
    <w:uiPriority w:val="9"/>
    <w:semiHidden/>
    <w:rPr>
      <w:rFonts w:ascii="Arial" w:hAnsi="Arial" w:eastAsia="Times New Roman"/>
      <w:b/>
      <w:bCs/>
      <w:i/>
      <w:iCs/>
      <w:sz w:val="28"/>
      <w:szCs w:val="28"/>
    </w:rPr>
  </w:style>
  <w:style w:type="character" w:styleId="846" w:customStyle="1">
    <w:name w:val="Заголовок 3 Знак"/>
    <w:link w:val="675"/>
    <w:uiPriority w:val="9"/>
    <w:semiHidden/>
    <w:rPr>
      <w:rFonts w:ascii="Arial" w:hAnsi="Arial" w:eastAsia="Times New Roman"/>
      <w:b/>
      <w:bCs/>
      <w:sz w:val="26"/>
      <w:szCs w:val="26"/>
    </w:rPr>
  </w:style>
  <w:style w:type="character" w:styleId="847" w:customStyle="1">
    <w:name w:val="Заголовок 4 Знак"/>
    <w:link w:val="676"/>
    <w:uiPriority w:val="9"/>
    <w:semiHidden/>
    <w:rPr>
      <w:b/>
      <w:bCs/>
      <w:sz w:val="28"/>
      <w:szCs w:val="28"/>
    </w:rPr>
  </w:style>
  <w:style w:type="character" w:styleId="848" w:customStyle="1">
    <w:name w:val="Заголовок 5 Знак"/>
    <w:link w:val="677"/>
    <w:uiPriority w:val="9"/>
    <w:semiHidden/>
    <w:rPr>
      <w:b/>
      <w:bCs/>
      <w:i/>
      <w:iCs/>
      <w:sz w:val="26"/>
      <w:szCs w:val="26"/>
    </w:rPr>
  </w:style>
  <w:style w:type="character" w:styleId="849" w:customStyle="1">
    <w:name w:val="Заголовок 6 Знак"/>
    <w:link w:val="678"/>
    <w:uiPriority w:val="9"/>
    <w:semiHidden/>
    <w:rPr>
      <w:b/>
      <w:bCs/>
    </w:rPr>
  </w:style>
  <w:style w:type="character" w:styleId="850" w:customStyle="1">
    <w:name w:val="Заголовок 7 Знак"/>
    <w:link w:val="679"/>
    <w:uiPriority w:val="9"/>
    <w:semiHidden/>
    <w:rPr>
      <w:sz w:val="24"/>
      <w:szCs w:val="24"/>
    </w:rPr>
  </w:style>
  <w:style w:type="character" w:styleId="851" w:customStyle="1">
    <w:name w:val="Заголовок 8 Знак"/>
    <w:link w:val="680"/>
    <w:uiPriority w:val="9"/>
    <w:semiHidden/>
    <w:rPr>
      <w:i/>
      <w:iCs/>
      <w:sz w:val="24"/>
      <w:szCs w:val="24"/>
    </w:rPr>
  </w:style>
  <w:style w:type="character" w:styleId="852" w:customStyle="1">
    <w:name w:val="Заголовок 9 Знак"/>
    <w:link w:val="681"/>
    <w:uiPriority w:val="9"/>
    <w:semiHidden/>
    <w:rPr>
      <w:rFonts w:ascii="Arial" w:hAnsi="Arial" w:eastAsia="Times New Roman"/>
    </w:rPr>
  </w:style>
  <w:style w:type="paragraph" w:styleId="853" w:customStyle="1">
    <w:name w:val="Заголовок1"/>
    <w:basedOn w:val="672"/>
    <w:next w:val="672"/>
    <w:link w:val="854"/>
    <w:uiPriority w:val="10"/>
    <w:qFormat/>
    <w:pPr>
      <w:jc w:val="center"/>
      <w:spacing w:before="240" w:after="60"/>
      <w:outlineLvl w:val="0"/>
    </w:pPr>
    <w:rPr>
      <w:rFonts w:ascii="Arial" w:hAnsi="Arial"/>
      <w:b/>
      <w:bCs/>
      <w:sz w:val="32"/>
      <w:szCs w:val="32"/>
    </w:rPr>
  </w:style>
  <w:style w:type="character" w:styleId="854" w:customStyle="1">
    <w:name w:val="Заголовок Знак"/>
    <w:link w:val="853"/>
    <w:uiPriority w:val="10"/>
    <w:rPr>
      <w:rFonts w:ascii="Arial" w:hAnsi="Arial" w:eastAsia="Times New Roman"/>
      <w:b/>
      <w:bCs/>
      <w:sz w:val="32"/>
      <w:szCs w:val="32"/>
    </w:rPr>
  </w:style>
  <w:style w:type="paragraph" w:styleId="855">
    <w:name w:val="Subtitle"/>
    <w:basedOn w:val="672"/>
    <w:next w:val="672"/>
    <w:link w:val="856"/>
    <w:uiPriority w:val="11"/>
    <w:qFormat/>
    <w:pPr>
      <w:jc w:val="center"/>
      <w:spacing w:after="60"/>
      <w:outlineLvl w:val="1"/>
    </w:pPr>
    <w:rPr>
      <w:rFonts w:ascii="Arial" w:hAnsi="Arial"/>
    </w:rPr>
  </w:style>
  <w:style w:type="character" w:styleId="856" w:customStyle="1">
    <w:name w:val="Подзаголовок Знак"/>
    <w:link w:val="855"/>
    <w:uiPriority w:val="11"/>
    <w:rPr>
      <w:rFonts w:ascii="Arial" w:hAnsi="Arial" w:eastAsia="Times New Roman"/>
      <w:sz w:val="24"/>
      <w:szCs w:val="24"/>
    </w:rPr>
  </w:style>
  <w:style w:type="character" w:styleId="857">
    <w:name w:val="Strong"/>
    <w:uiPriority w:val="22"/>
    <w:qFormat/>
    <w:rPr>
      <w:b/>
      <w:bCs/>
    </w:rPr>
  </w:style>
  <w:style w:type="character" w:styleId="858">
    <w:name w:val="Emphasis"/>
    <w:uiPriority w:val="20"/>
    <w:qFormat/>
    <w:rPr>
      <w:rFonts w:ascii="Times New Roman" w:hAnsi="Times New Roman"/>
      <w:b/>
      <w:i/>
      <w:iCs/>
    </w:rPr>
  </w:style>
  <w:style w:type="paragraph" w:styleId="859">
    <w:name w:val="No Spacing"/>
    <w:basedOn w:val="672"/>
    <w:uiPriority w:val="1"/>
    <w:qFormat/>
    <w:rPr>
      <w:szCs w:val="32"/>
    </w:rPr>
  </w:style>
  <w:style w:type="paragraph" w:styleId="860">
    <w:name w:val="List Paragraph"/>
    <w:basedOn w:val="672"/>
    <w:link w:val="879"/>
    <w:uiPriority w:val="34"/>
    <w:qFormat/>
    <w:pPr>
      <w:contextualSpacing/>
      <w:ind w:left="720"/>
    </w:pPr>
  </w:style>
  <w:style w:type="paragraph" w:styleId="861">
    <w:name w:val="Quote"/>
    <w:basedOn w:val="672"/>
    <w:next w:val="672"/>
    <w:link w:val="862"/>
    <w:uiPriority w:val="29"/>
    <w:qFormat/>
    <w:rPr>
      <w:i/>
    </w:rPr>
  </w:style>
  <w:style w:type="character" w:styleId="862" w:customStyle="1">
    <w:name w:val="Цитата 2 Знак"/>
    <w:link w:val="861"/>
    <w:uiPriority w:val="29"/>
    <w:rPr>
      <w:i/>
      <w:sz w:val="24"/>
      <w:szCs w:val="24"/>
    </w:rPr>
  </w:style>
  <w:style w:type="paragraph" w:styleId="863">
    <w:name w:val="Intense Quote"/>
    <w:basedOn w:val="672"/>
    <w:next w:val="672"/>
    <w:link w:val="864"/>
    <w:uiPriority w:val="30"/>
    <w:qFormat/>
    <w:pPr>
      <w:ind w:left="720" w:right="720"/>
    </w:pPr>
    <w:rPr>
      <w:b/>
      <w:i/>
      <w:szCs w:val="22"/>
    </w:rPr>
  </w:style>
  <w:style w:type="character" w:styleId="864" w:customStyle="1">
    <w:name w:val="Выделенная цитата Знак"/>
    <w:link w:val="863"/>
    <w:uiPriority w:val="30"/>
    <w:rPr>
      <w:b/>
      <w:i/>
      <w:sz w:val="24"/>
    </w:rPr>
  </w:style>
  <w:style w:type="character" w:styleId="865">
    <w:name w:val="Subtle Emphasis"/>
    <w:uiPriority w:val="19"/>
    <w:qFormat/>
    <w:rPr>
      <w:i/>
      <w:color w:val="5a5a5a"/>
    </w:rPr>
  </w:style>
  <w:style w:type="character" w:styleId="866">
    <w:name w:val="Intense Emphasis"/>
    <w:uiPriority w:val="21"/>
    <w:qFormat/>
    <w:rPr>
      <w:b/>
      <w:i/>
      <w:sz w:val="24"/>
      <w:szCs w:val="24"/>
      <w:u w:val="single"/>
    </w:rPr>
  </w:style>
  <w:style w:type="character" w:styleId="867">
    <w:name w:val="Subtle Reference"/>
    <w:uiPriority w:val="31"/>
    <w:qFormat/>
    <w:rPr>
      <w:sz w:val="24"/>
      <w:szCs w:val="24"/>
      <w:u w:val="single"/>
    </w:rPr>
  </w:style>
  <w:style w:type="character" w:styleId="868">
    <w:name w:val="Intense Reference"/>
    <w:uiPriority w:val="32"/>
    <w:qFormat/>
    <w:rPr>
      <w:b/>
      <w:sz w:val="24"/>
      <w:u w:val="single"/>
    </w:rPr>
  </w:style>
  <w:style w:type="character" w:styleId="869">
    <w:name w:val="Book Title"/>
    <w:uiPriority w:val="33"/>
    <w:qFormat/>
    <w:rPr>
      <w:rFonts w:ascii="Arial" w:hAnsi="Arial" w:eastAsia="Times New Roman"/>
      <w:b/>
      <w:i/>
      <w:sz w:val="24"/>
      <w:szCs w:val="24"/>
    </w:rPr>
  </w:style>
  <w:style w:type="paragraph" w:styleId="870">
    <w:name w:val="TOC Heading"/>
    <w:basedOn w:val="673"/>
    <w:next w:val="672"/>
    <w:uiPriority w:val="39"/>
    <w:semiHidden/>
    <w:unhideWhenUsed/>
    <w:qFormat/>
    <w:pPr>
      <w:outlineLvl w:val="9"/>
    </w:pPr>
  </w:style>
  <w:style w:type="paragraph" w:styleId="871">
    <w:name w:val="Header"/>
    <w:basedOn w:val="672"/>
    <w:link w:val="872"/>
    <w:uiPriority w:val="99"/>
    <w:pPr>
      <w:tabs>
        <w:tab w:val="center" w:pos="4677" w:leader="none"/>
        <w:tab w:val="right" w:pos="9355" w:leader="none"/>
      </w:tabs>
    </w:pPr>
    <w:rPr>
      <w:lang w:eastAsia="ru-RU"/>
    </w:rPr>
  </w:style>
  <w:style w:type="character" w:styleId="872" w:customStyle="1">
    <w:name w:val="Верхний колонтитул Знак"/>
    <w:link w:val="871"/>
    <w:uiPriority w:val="99"/>
    <w:rPr>
      <w:rFonts w:ascii="Times New Roman" w:hAnsi="Times New Roman" w:eastAsia="Times New Roman"/>
      <w:sz w:val="24"/>
      <w:szCs w:val="24"/>
      <w:lang w:eastAsia="ru-RU"/>
    </w:rPr>
  </w:style>
  <w:style w:type="paragraph" w:styleId="873">
    <w:name w:val="Footer"/>
    <w:basedOn w:val="672"/>
    <w:link w:val="874"/>
    <w:uiPriority w:val="99"/>
    <w:pPr>
      <w:tabs>
        <w:tab w:val="center" w:pos="4677" w:leader="none"/>
        <w:tab w:val="right" w:pos="9355" w:leader="none"/>
      </w:tabs>
    </w:pPr>
    <w:rPr>
      <w:rFonts w:ascii="Arial" w:hAnsi="Arial"/>
      <w:lang w:eastAsia="ru-RU"/>
    </w:rPr>
  </w:style>
  <w:style w:type="character" w:styleId="874" w:customStyle="1">
    <w:name w:val="Нижний колонтитул Знак"/>
    <w:link w:val="873"/>
    <w:uiPriority w:val="99"/>
    <w:rPr>
      <w:rFonts w:ascii="Arial" w:hAnsi="Arial" w:eastAsia="Times New Roman"/>
      <w:sz w:val="24"/>
      <w:szCs w:val="24"/>
      <w:lang w:eastAsia="ru-RU"/>
    </w:rPr>
  </w:style>
  <w:style w:type="table" w:styleId="875" w:customStyle="1">
    <w:name w:val="Сетка таблицы3"/>
    <w:basedOn w:val="683"/>
    <w:next w:val="876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76">
    <w:name w:val="Table Grid"/>
    <w:basedOn w:val="683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77">
    <w:name w:val="Balloon Text"/>
    <w:basedOn w:val="672"/>
    <w:link w:val="878"/>
    <w:uiPriority w:val="99"/>
    <w:semiHidden/>
    <w:unhideWhenUsed/>
    <w:rPr>
      <w:rFonts w:ascii="Tahoma" w:hAnsi="Tahoma" w:cs="Tahoma"/>
      <w:sz w:val="16"/>
      <w:szCs w:val="16"/>
    </w:rPr>
  </w:style>
  <w:style w:type="character" w:styleId="878" w:customStyle="1">
    <w:name w:val="Текст выноски Знак"/>
    <w:link w:val="877"/>
    <w:uiPriority w:val="99"/>
    <w:semiHidden/>
    <w:rPr>
      <w:rFonts w:ascii="Tahoma" w:hAnsi="Tahoma" w:cs="Tahoma"/>
      <w:sz w:val="16"/>
      <w:szCs w:val="16"/>
    </w:rPr>
  </w:style>
  <w:style w:type="character" w:styleId="879" w:customStyle="1">
    <w:name w:val="Абзац списка Знак"/>
    <w:link w:val="860"/>
    <w:uiPriority w:val="34"/>
    <w:qFormat/>
    <w:rPr>
      <w:sz w:val="24"/>
      <w:szCs w:val="24"/>
      <w:lang w:eastAsia="en-US"/>
    </w:rPr>
  </w:style>
  <w:style w:type="paragraph" w:styleId="880">
    <w:name w:val="Plain Text"/>
    <w:basedOn w:val="672"/>
    <w:link w:val="881"/>
    <w:uiPriority w:val="99"/>
    <w:unhideWhenUsed/>
    <w:rPr>
      <w:rFonts w:ascii="Consolas" w:hAnsi="Consolas" w:eastAsia="Calibri"/>
      <w:sz w:val="21"/>
      <w:szCs w:val="21"/>
    </w:rPr>
  </w:style>
  <w:style w:type="character" w:styleId="881" w:customStyle="1">
    <w:name w:val="Текст Знак"/>
    <w:basedOn w:val="682"/>
    <w:link w:val="880"/>
    <w:uiPriority w:val="99"/>
    <w:rPr>
      <w:rFonts w:ascii="Consolas" w:hAnsi="Consolas" w:eastAsia="Calibri"/>
      <w:sz w:val="21"/>
      <w:szCs w:val="21"/>
      <w:lang w:eastAsia="en-US"/>
    </w:rPr>
  </w:style>
  <w:style w:type="paragraph" w:styleId="882" w:customStyle="1">
    <w:name w:val="ConsPlusNormal"/>
    <w:pPr>
      <w:ind w:firstLine="720"/>
      <w:widowControl w:val="off"/>
    </w:pPr>
    <w:rPr>
      <w:rFonts w:ascii="Arial" w:hAnsi="Arial" w:cs="Arial"/>
    </w:rPr>
  </w:style>
  <w:style w:type="character" w:styleId="883" w:customStyle="1">
    <w:name w:val="Основной текст Знак1"/>
    <w:basedOn w:val="682"/>
    <w:uiPriority w:val="99"/>
    <w:rPr>
      <w:rFonts w:hint="default" w:ascii="Arial" w:hAnsi="Arial" w:cs="Arial"/>
      <w:shd w:val="clear" w:color="auto" w:fill="ffffff"/>
    </w:rPr>
  </w:style>
  <w:style w:type="character" w:styleId="884">
    <w:name w:val="Hyperlink"/>
    <w:uiPriority w:val="99"/>
    <w:unhideWhenUsed/>
    <w:rPr>
      <w:color w:val="0000ff"/>
      <w:u w:val="single"/>
    </w:rPr>
  </w:style>
  <w:style w:type="character" w:styleId="885">
    <w:name w:val="Unresolved Mention"/>
    <w:basedOn w:val="682"/>
    <w:uiPriority w:val="99"/>
    <w:semiHidden/>
    <w:unhideWhenUsed/>
    <w:rPr>
      <w:color w:val="605e5c"/>
      <w:shd w:val="clear" w:color="auto" w:fill="e1dfdd"/>
    </w:rPr>
  </w:style>
  <w:style w:type="character" w:styleId="886">
    <w:name w:val="FollowedHyperlink"/>
    <w:basedOn w:val="682"/>
    <w:uiPriority w:val="99"/>
    <w:semiHidden/>
    <w:unhideWhenUsed/>
    <w:rPr>
      <w:color w:val="800080" w:themeColor="followedHyperlink"/>
      <w:u w:val="single"/>
    </w:rPr>
  </w:style>
  <w:style w:type="character" w:styleId="887" w:customStyle="1">
    <w:name w:val="Основной текст + Полужирный"/>
    <w:rPr>
      <w:rFonts w:ascii="Times New Roman" w:hAnsi="Times New Roman" w:eastAsia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styleId="888" w:customStyle="1">
    <w:name w:val="Основной текст5"/>
    <w:basedOn w:val="672"/>
    <w:pPr>
      <w:ind w:hanging="440"/>
      <w:jc w:val="both"/>
      <w:spacing w:before="180" w:line="274" w:lineRule="exact"/>
      <w:shd w:val="clear" w:color="auto" w:fill="ffffff"/>
    </w:pPr>
    <w:rPr>
      <w:sz w:val="23"/>
      <w:szCs w:val="23"/>
    </w:rPr>
  </w:style>
  <w:style w:type="paragraph" w:styleId="889">
    <w:name w:val="Body Text"/>
    <w:basedOn w:val="672"/>
    <w:link w:val="890"/>
    <w:uiPriority w:val="99"/>
    <w:unhideWhenUsed/>
    <w:pPr>
      <w:spacing w:after="120"/>
    </w:pPr>
    <w:rPr>
      <w:lang w:eastAsia="ru-RU"/>
    </w:rPr>
  </w:style>
  <w:style w:type="character" w:styleId="890" w:customStyle="1">
    <w:name w:val="Основной текст Знак"/>
    <w:basedOn w:val="682"/>
    <w:link w:val="889"/>
    <w:uiPriority w:val="99"/>
    <w:rPr>
      <w:sz w:val="24"/>
      <w:szCs w:val="24"/>
    </w:rPr>
  </w:style>
  <w:style w:type="paragraph" w:styleId="891" w:customStyle="1">
    <w:name w:val="Default"/>
    <w:rPr>
      <w:color w:val="000000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hyperlink" Target="https://roszdravnadzor.gov.ru/services/licenses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38778-340E-498C-81DE-27DCED4A3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Еремеева Татьяна Евгеньевна</dc:creator>
  <cp:revision>26</cp:revision>
  <dcterms:created xsi:type="dcterms:W3CDTF">2023-07-14T13:19:00Z</dcterms:created>
  <dcterms:modified xsi:type="dcterms:W3CDTF">2024-10-29T09:56:50Z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otesUniversalID">
    <vt:lpwstr>9BA334D2753662A8432582B200503C7D</vt:lpwstr>
  </property>
  <property fmtid="{D5CDD505-2E9C-101B-9397-08002B2CF9AE}" pid="3" name="NotesBaltID">
    <vt:lpwstr>9BA334D2753662A8432582B200503C7D</vt:lpwstr>
  </property>
  <property fmtid="{D5CDD505-2E9C-101B-9397-08002B2CF9AE}" pid="4" name="NotesBaltREF">
    <vt:lpwstr/>
  </property>
  <property fmtid="{D5CDD505-2E9C-101B-9397-08002B2CF9AE}" pid="5" name="NotesServer">
    <vt:lpwstr>CN=domino/O=PSC</vt:lpwstr>
  </property>
  <property fmtid="{D5CDD505-2E9C-101B-9397-08002B2CF9AE}" pid="6" name="NotesFileName">
    <vt:lpwstr>dpu.nsf</vt:lpwstr>
  </property>
  <property fmtid="{D5CDD505-2E9C-101B-9397-08002B2CF9AE}" pid="7" name="NotesFilePath">
    <vt:lpwstr>ESK\OHTR\18\dpu.nsf</vt:lpwstr>
  </property>
  <property fmtid="{D5CDD505-2E9C-101B-9397-08002B2CF9AE}" pid="8" name="NotesUserName">
    <vt:lpwstr>CN=Ирина А Гуркова/O=PSC</vt:lpwstr>
  </property>
</Properties>
</file>